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jc w:val="left"/>
        <w:rPr>
          <w:rFonts w:hint="eastAsia" w:hAnsi="宋体"/>
          <w:b/>
          <w:bCs/>
          <w:kern w:val="0"/>
          <w:sz w:val="21"/>
          <w:szCs w:val="24"/>
        </w:rPr>
      </w:pPr>
      <w:r>
        <w:rPr>
          <w:rFonts w:hint="eastAsia" w:eastAsia="宋体"/>
          <w:lang w:eastAsia="zh-CN"/>
        </w:rPr>
        <w:drawing>
          <wp:anchor distT="0" distB="0" distL="114300" distR="114300" simplePos="0" relativeHeight="251665408" behindDoc="1" locked="0" layoutInCell="1" allowOverlap="1">
            <wp:simplePos x="0" y="0"/>
            <wp:positionH relativeFrom="column">
              <wp:posOffset>2994660</wp:posOffset>
            </wp:positionH>
            <wp:positionV relativeFrom="paragraph">
              <wp:posOffset>33655</wp:posOffset>
            </wp:positionV>
            <wp:extent cx="2828290" cy="1631315"/>
            <wp:effectExtent l="0" t="0" r="635" b="6985"/>
            <wp:wrapNone/>
            <wp:docPr id="3" name="图片 5"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二维码"/>
                    <pic:cNvPicPr>
                      <a:picLocks noChangeAspect="1"/>
                    </pic:cNvPicPr>
                  </pic:nvPicPr>
                  <pic:blipFill>
                    <a:blip r:embed="rId9"/>
                    <a:stretch>
                      <a:fillRect/>
                    </a:stretch>
                  </pic:blipFill>
                  <pic:spPr>
                    <a:xfrm>
                      <a:off x="0" y="0"/>
                      <a:ext cx="2828290" cy="1631315"/>
                    </a:xfrm>
                    <a:prstGeom prst="rect">
                      <a:avLst/>
                    </a:prstGeom>
                    <a:noFill/>
                    <a:ln>
                      <a:noFill/>
                    </a:ln>
                  </pic:spPr>
                </pic:pic>
              </a:graphicData>
            </a:graphic>
          </wp:anchor>
        </w:drawing>
      </w:r>
      <w:r>
        <w:rPr>
          <w:rFonts w:hint="eastAsia" w:eastAsia="宋体"/>
          <w:color w:val="auto"/>
          <w:lang w:eastAsia="zh-CN"/>
        </w:rPr>
        <w:drawing>
          <wp:anchor distT="0" distB="0" distL="114300" distR="114300" simplePos="0" relativeHeight="251664384" behindDoc="0" locked="0" layoutInCell="1" allowOverlap="1">
            <wp:simplePos x="0" y="0"/>
            <wp:positionH relativeFrom="column">
              <wp:posOffset>8890</wp:posOffset>
            </wp:positionH>
            <wp:positionV relativeFrom="paragraph">
              <wp:posOffset>-22225</wp:posOffset>
            </wp:positionV>
            <wp:extent cx="1504315" cy="524510"/>
            <wp:effectExtent l="0" t="0" r="635" b="8890"/>
            <wp:wrapNone/>
            <wp:docPr id="1" name="图片 2" descr="e7b87249ad93eb0270ad7c7035d4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e7b87249ad93eb0270ad7c7035d4ad7"/>
                    <pic:cNvPicPr>
                      <a:picLocks noChangeAspect="1"/>
                    </pic:cNvPicPr>
                  </pic:nvPicPr>
                  <pic:blipFill>
                    <a:blip r:embed="rId10"/>
                    <a:stretch>
                      <a:fillRect/>
                    </a:stretch>
                  </pic:blipFill>
                  <pic:spPr>
                    <a:xfrm>
                      <a:off x="0" y="0"/>
                      <a:ext cx="1504315" cy="524510"/>
                    </a:xfrm>
                    <a:prstGeom prst="rect">
                      <a:avLst/>
                    </a:prstGeom>
                    <a:noFill/>
                    <a:ln>
                      <a:noFill/>
                    </a:ln>
                  </pic:spPr>
                </pic:pic>
              </a:graphicData>
            </a:graphic>
          </wp:anchor>
        </w:drawing>
      </w:r>
    </w:p>
    <w:p>
      <w:pPr>
        <w:pStyle w:val="17"/>
        <w:spacing w:after="0"/>
        <w:ind w:firstLine="7875" w:firstLineChars="3750"/>
        <w:rPr>
          <w:rFonts w:hint="eastAsia"/>
        </w:rPr>
      </w:pPr>
    </w:p>
    <w:p>
      <w:pPr>
        <w:pStyle w:val="17"/>
        <w:spacing w:after="0"/>
        <w:ind w:firstLine="7875" w:firstLineChars="3750"/>
        <w:rPr>
          <w:rFonts w:hint="eastAsia"/>
          <w:kern w:val="0"/>
        </w:rPr>
      </w:pPr>
    </w:p>
    <w:p>
      <w:pPr>
        <w:pStyle w:val="17"/>
        <w:spacing w:after="0"/>
        <w:rPr>
          <w:rFonts w:hint="eastAsia" w:ascii="仿宋_GB2312" w:eastAsia="仿宋_GB2312"/>
          <w:kern w:val="0"/>
          <w:sz w:val="32"/>
        </w:rPr>
      </w:pPr>
    </w:p>
    <w:p>
      <w:pPr>
        <w:widowControl/>
        <w:spacing w:after="156" w:afterLines="50"/>
        <w:jc w:val="center"/>
        <w:rPr>
          <w:rFonts w:hint="eastAsia" w:ascii="宋体" w:hAnsi="宋体"/>
          <w:b/>
          <w:kern w:val="0"/>
          <w:sz w:val="44"/>
          <w:szCs w:val="44"/>
          <w:lang w:eastAsia="zh-CN"/>
        </w:rPr>
      </w:pPr>
    </w:p>
    <w:p>
      <w:pPr>
        <w:widowControl/>
        <w:spacing w:after="156" w:afterLines="50"/>
        <w:jc w:val="center"/>
        <w:rPr>
          <w:rFonts w:hint="eastAsia" w:ascii="宋体" w:hAnsi="宋体" w:eastAsia="宋体"/>
          <w:b/>
          <w:kern w:val="0"/>
          <w:sz w:val="44"/>
          <w:szCs w:val="44"/>
          <w:lang w:eastAsia="zh-CN"/>
        </w:rPr>
      </w:pPr>
      <w:r>
        <w:rPr>
          <w:rFonts w:hint="eastAsia" w:ascii="宋体" w:hAnsi="宋体"/>
          <w:b/>
          <w:kern w:val="0"/>
          <w:sz w:val="44"/>
          <w:szCs w:val="44"/>
          <w:lang w:eastAsia="zh-CN"/>
        </w:rPr>
        <w:t>黑山鸿泰化工有限公司</w:t>
      </w:r>
    </w:p>
    <w:p>
      <w:pPr>
        <w:widowControl/>
        <w:jc w:val="center"/>
        <w:rPr>
          <w:rFonts w:hint="eastAsia" w:ascii="黑体" w:hAnsi="宋体" w:eastAsia="黑体"/>
          <w:b/>
          <w:sz w:val="52"/>
          <w:szCs w:val="52"/>
        </w:rPr>
      </w:pPr>
      <w:r>
        <w:rPr>
          <w:rFonts w:hint="eastAsia" w:ascii="黑体" w:hAnsi="宋体" w:eastAsia="黑体"/>
          <w:b/>
          <w:sz w:val="52"/>
          <w:szCs w:val="52"/>
        </w:rPr>
        <w:t>安全评价报告</w:t>
      </w:r>
    </w:p>
    <w:p>
      <w:pPr>
        <w:widowControl/>
        <w:jc w:val="center"/>
        <w:rPr>
          <w:rFonts w:hint="eastAsia" w:ascii="仿宋_GB2312" w:eastAsia="仿宋_GB2312"/>
          <w:kern w:val="0"/>
          <w:sz w:val="28"/>
          <w:szCs w:val="28"/>
        </w:rPr>
      </w:pPr>
      <w:r>
        <w:rPr>
          <w:rFonts w:hint="eastAsia" w:ascii="仿宋_GB2312" w:eastAsia="仿宋_GB2312"/>
          <w:kern w:val="0"/>
          <w:sz w:val="28"/>
          <w:szCs w:val="28"/>
        </w:rPr>
        <w:t>（</w:t>
      </w:r>
      <w:r>
        <w:rPr>
          <w:rFonts w:hint="eastAsia" w:ascii="仿宋_GB2312" w:eastAsia="仿宋_GB2312"/>
          <w:kern w:val="0"/>
          <w:sz w:val="28"/>
          <w:szCs w:val="28"/>
          <w:lang w:val="en-US" w:eastAsia="zh-CN"/>
        </w:rPr>
        <w:t>送审</w:t>
      </w:r>
      <w:r>
        <w:rPr>
          <w:rFonts w:hint="eastAsia" w:ascii="仿宋_GB2312" w:eastAsia="仿宋_GB2312"/>
          <w:kern w:val="0"/>
          <w:sz w:val="28"/>
          <w:szCs w:val="28"/>
        </w:rPr>
        <w:t>稿）</w:t>
      </w:r>
    </w:p>
    <w:p>
      <w:pPr>
        <w:widowControl/>
        <w:rPr>
          <w:rFonts w:hint="eastAsia" w:ascii="仿宋_GB2312" w:eastAsia="仿宋_GB2312"/>
          <w:kern w:val="0"/>
          <w:sz w:val="32"/>
        </w:rPr>
      </w:pPr>
    </w:p>
    <w:p>
      <w:pPr>
        <w:widowControl/>
        <w:jc w:val="center"/>
        <w:rPr>
          <w:rFonts w:hint="eastAsia" w:ascii="仿宋_GB2312" w:eastAsia="仿宋_GB2312"/>
          <w:kern w:val="0"/>
          <w:sz w:val="32"/>
        </w:rPr>
      </w:pPr>
    </w:p>
    <w:p>
      <w:pPr>
        <w:pStyle w:val="24"/>
        <w:rPr>
          <w:rFonts w:hint="eastAsia" w:ascii="仿宋_GB2312" w:eastAsia="仿宋_GB2312"/>
          <w:kern w:val="0"/>
          <w:sz w:val="32"/>
        </w:rPr>
      </w:pPr>
    </w:p>
    <w:p>
      <w:pPr>
        <w:rPr>
          <w:rFonts w:hint="eastAsia" w:ascii="仿宋_GB2312" w:eastAsia="仿宋_GB2312"/>
          <w:kern w:val="0"/>
          <w:sz w:val="32"/>
        </w:rPr>
      </w:pPr>
    </w:p>
    <w:p>
      <w:pPr>
        <w:pStyle w:val="24"/>
        <w:rPr>
          <w:rFonts w:hint="eastAsia"/>
        </w:rPr>
      </w:pPr>
    </w:p>
    <w:p>
      <w:pPr>
        <w:widowControl/>
        <w:jc w:val="center"/>
        <w:rPr>
          <w:rFonts w:hint="eastAsia" w:ascii="仿宋_GB2312" w:eastAsia="仿宋_GB2312"/>
          <w:kern w:val="0"/>
          <w:sz w:val="32"/>
        </w:rPr>
      </w:pPr>
    </w:p>
    <w:p>
      <w:pPr>
        <w:widowControl/>
        <w:rPr>
          <w:rFonts w:ascii="仿宋_GB2312" w:eastAsia="仿宋_GB2312"/>
          <w:kern w:val="0"/>
          <w:sz w:val="32"/>
        </w:rPr>
      </w:pPr>
    </w:p>
    <w:p>
      <w:pPr>
        <w:widowControl/>
        <w:rPr>
          <w:rFonts w:hint="eastAsia" w:ascii="仿宋_GB2312" w:eastAsia="仿宋_GB2312"/>
          <w:kern w:val="0"/>
          <w:sz w:val="32"/>
        </w:rPr>
      </w:pPr>
    </w:p>
    <w:p>
      <w:pPr>
        <w:pStyle w:val="24"/>
        <w:rPr>
          <w:rFonts w:hint="eastAsia"/>
        </w:rPr>
      </w:pPr>
    </w:p>
    <w:p>
      <w:pPr>
        <w:widowControl/>
        <w:rPr>
          <w:rFonts w:hint="eastAsia" w:ascii="仿宋_GB2312" w:eastAsia="仿宋_GB2312"/>
          <w:kern w:val="0"/>
          <w:sz w:val="32"/>
        </w:rPr>
      </w:pPr>
    </w:p>
    <w:p>
      <w:pPr>
        <w:widowControl/>
        <w:rPr>
          <w:rFonts w:hint="eastAsia" w:ascii="仿宋_GB2312" w:eastAsia="仿宋_GB2312"/>
          <w:kern w:val="0"/>
          <w:sz w:val="32"/>
        </w:rPr>
      </w:pPr>
    </w:p>
    <w:p>
      <w:pPr>
        <w:autoSpaceDE w:val="0"/>
        <w:adjustRightInd w:val="0"/>
        <w:snapToGrid w:val="0"/>
        <w:spacing w:line="240" w:lineRule="atLeast"/>
        <w:jc w:val="center"/>
        <w:rPr>
          <w:rFonts w:hint="eastAsia" w:eastAsia="宋体"/>
          <w:b/>
          <w:bCs/>
          <w:kern w:val="48"/>
          <w:sz w:val="44"/>
          <w:szCs w:val="44"/>
          <w:lang w:eastAsia="zh-CN"/>
        </w:rPr>
      </w:pPr>
      <w:r>
        <w:rPr>
          <w:rFonts w:hint="eastAsia"/>
          <w:b/>
          <w:bCs/>
          <w:kern w:val="48"/>
          <w:sz w:val="44"/>
          <w:szCs w:val="44"/>
          <w:lang w:eastAsia="zh-CN"/>
        </w:rPr>
        <w:t>大连百悦安全技术服务有限公司</w:t>
      </w:r>
    </w:p>
    <w:p>
      <w:pPr>
        <w:pStyle w:val="23"/>
        <w:spacing w:line="360" w:lineRule="auto"/>
        <w:ind w:left="0" w:leftChars="0"/>
        <w:jc w:val="center"/>
        <w:rPr>
          <w:rFonts w:hint="default" w:eastAsia="宋体"/>
          <w:b/>
          <w:bCs/>
          <w:color w:val="auto"/>
          <w:kern w:val="48"/>
          <w:sz w:val="32"/>
          <w:szCs w:val="32"/>
          <w:lang w:val="en-US" w:eastAsia="zh-CN"/>
        </w:rPr>
      </w:pPr>
      <w:r>
        <w:rPr>
          <w:rFonts w:hAnsi="宋体"/>
          <w:b/>
          <w:bCs/>
          <w:color w:val="auto"/>
          <w:sz w:val="32"/>
          <w:szCs w:val="32"/>
        </w:rPr>
        <w:t>资质证书编号：</w:t>
      </w:r>
      <w:r>
        <w:rPr>
          <w:b/>
          <w:bCs/>
          <w:color w:val="auto"/>
          <w:sz w:val="32"/>
          <w:szCs w:val="32"/>
        </w:rPr>
        <w:t>APJ-</w:t>
      </w:r>
      <w:r>
        <w:rPr>
          <w:rFonts w:hAnsi="宋体"/>
          <w:b/>
          <w:bCs/>
          <w:color w:val="auto"/>
          <w:sz w:val="32"/>
          <w:szCs w:val="32"/>
        </w:rPr>
        <w:t>（辽）</w:t>
      </w:r>
      <w:r>
        <w:rPr>
          <w:b/>
          <w:bCs/>
          <w:color w:val="auto"/>
          <w:sz w:val="32"/>
          <w:szCs w:val="32"/>
        </w:rPr>
        <w:t>-0</w:t>
      </w:r>
      <w:r>
        <w:rPr>
          <w:rFonts w:hint="eastAsia"/>
          <w:b/>
          <w:bCs/>
          <w:color w:val="auto"/>
          <w:sz w:val="32"/>
          <w:szCs w:val="32"/>
          <w:lang w:val="en-US" w:eastAsia="zh-CN"/>
        </w:rPr>
        <w:t>20</w:t>
      </w:r>
    </w:p>
    <w:p>
      <w:pPr>
        <w:spacing w:line="560" w:lineRule="exact"/>
        <w:jc w:val="center"/>
        <w:rPr>
          <w:rFonts w:ascii="宋体" w:hAnsi="宋体"/>
          <w:b/>
          <w:bCs/>
          <w:sz w:val="32"/>
          <w:szCs w:val="32"/>
        </w:rPr>
      </w:pPr>
      <w:r>
        <w:rPr>
          <w:rFonts w:ascii="宋体" w:hAnsi="宋体"/>
          <w:b/>
          <w:bCs/>
          <w:sz w:val="32"/>
          <w:szCs w:val="32"/>
        </w:rPr>
        <w:t>二○二</w:t>
      </w:r>
      <w:r>
        <w:rPr>
          <w:rFonts w:hint="eastAsia" w:ascii="宋体" w:hAnsi="宋体"/>
          <w:b/>
          <w:bCs/>
          <w:sz w:val="32"/>
          <w:szCs w:val="32"/>
          <w:lang w:val="en-US" w:eastAsia="zh-CN"/>
        </w:rPr>
        <w:t>三</w:t>
      </w:r>
      <w:r>
        <w:rPr>
          <w:rFonts w:ascii="宋体" w:hAnsi="宋体"/>
          <w:b/>
          <w:bCs/>
          <w:sz w:val="32"/>
          <w:szCs w:val="32"/>
        </w:rPr>
        <w:t>年</w:t>
      </w:r>
      <w:r>
        <w:rPr>
          <w:rFonts w:hint="eastAsia" w:ascii="宋体" w:hAnsi="宋体"/>
          <w:b/>
          <w:bCs/>
          <w:sz w:val="32"/>
          <w:szCs w:val="32"/>
          <w:lang w:val="en-US" w:eastAsia="zh-CN"/>
        </w:rPr>
        <w:t>十</w:t>
      </w:r>
      <w:r>
        <w:rPr>
          <w:rFonts w:ascii="宋体" w:hAnsi="宋体"/>
          <w:b/>
          <w:bCs/>
          <w:sz w:val="32"/>
          <w:szCs w:val="32"/>
        </w:rPr>
        <w:t>月</w:t>
      </w:r>
      <w:r>
        <w:rPr>
          <w:rFonts w:hint="eastAsia" w:ascii="宋体" w:hAnsi="宋体"/>
          <w:b/>
          <w:bCs/>
          <w:sz w:val="32"/>
          <w:szCs w:val="32"/>
          <w:lang w:val="en-US" w:eastAsia="zh-CN"/>
        </w:rPr>
        <w:t>二十</w:t>
      </w:r>
      <w:r>
        <w:rPr>
          <w:rFonts w:ascii="宋体" w:hAnsi="宋体"/>
          <w:b/>
          <w:bCs/>
          <w:sz w:val="32"/>
          <w:szCs w:val="32"/>
        </w:rPr>
        <w:t>日</w:t>
      </w:r>
    </w:p>
    <w:p>
      <w:pPr>
        <w:widowControl/>
        <w:rPr>
          <w:rFonts w:hint="eastAsia" w:ascii="仿宋_GB2312" w:hAnsi="宋体" w:eastAsia="仿宋_GB2312"/>
          <w:kern w:val="0"/>
          <w:sz w:val="32"/>
        </w:rPr>
      </w:pPr>
    </w:p>
    <w:p>
      <w:pPr>
        <w:widowControl/>
        <w:rPr>
          <w:rFonts w:ascii="仿宋_GB2312" w:eastAsia="仿宋_GB2312"/>
          <w:kern w:val="0"/>
          <w:sz w:val="32"/>
        </w:rPr>
        <w:sectPr>
          <w:pgSz w:w="11907" w:h="16840"/>
          <w:pgMar w:top="1418" w:right="1134" w:bottom="1134" w:left="1588" w:header="851" w:footer="992" w:gutter="0"/>
          <w:cols w:space="720" w:num="1"/>
          <w:docGrid w:type="lines" w:linePitch="312" w:charSpace="0"/>
        </w:sectPr>
      </w:pPr>
    </w:p>
    <w:p>
      <w:pPr>
        <w:widowControl/>
        <w:rPr>
          <w:rFonts w:ascii="仿宋_GB2312" w:eastAsia="仿宋_GB2312"/>
          <w:kern w:val="0"/>
          <w:sz w:val="32"/>
        </w:rPr>
      </w:pPr>
    </w:p>
    <w:p>
      <w:pPr>
        <w:widowControl/>
        <w:rPr>
          <w:rFonts w:hint="eastAsia" w:ascii="仿宋_GB2312" w:eastAsia="仿宋_GB2312"/>
          <w:kern w:val="0"/>
          <w:sz w:val="32"/>
        </w:rPr>
      </w:pPr>
    </w:p>
    <w:p>
      <w:pPr>
        <w:widowControl/>
        <w:rPr>
          <w:rFonts w:hint="eastAsia" w:ascii="仿宋_GB2312" w:eastAsia="仿宋_GB2312"/>
          <w:kern w:val="0"/>
          <w:sz w:val="32"/>
        </w:rPr>
      </w:pPr>
    </w:p>
    <w:p>
      <w:pPr>
        <w:spacing w:after="156" w:afterLines="50" w:line="360" w:lineRule="auto"/>
        <w:jc w:val="center"/>
        <w:rPr>
          <w:rFonts w:hint="eastAsia" w:ascii="宋体" w:hAnsi="宋体" w:eastAsia="宋体"/>
          <w:b/>
          <w:kern w:val="0"/>
          <w:sz w:val="44"/>
          <w:szCs w:val="44"/>
          <w:lang w:eastAsia="zh-CN"/>
        </w:rPr>
      </w:pPr>
      <w:r>
        <w:rPr>
          <w:rFonts w:hint="eastAsia" w:ascii="宋体" w:hAnsi="宋体"/>
          <w:b/>
          <w:kern w:val="0"/>
          <w:sz w:val="44"/>
          <w:szCs w:val="44"/>
          <w:lang w:eastAsia="zh-CN"/>
        </w:rPr>
        <w:t>黑山鸿泰化工有限公司</w:t>
      </w:r>
    </w:p>
    <w:p>
      <w:pPr>
        <w:spacing w:line="360" w:lineRule="auto"/>
        <w:jc w:val="center"/>
        <w:rPr>
          <w:rFonts w:hint="eastAsia" w:ascii="Calibri" w:hAnsi="Calibri" w:eastAsia="黑体"/>
          <w:b/>
          <w:bCs/>
          <w:sz w:val="52"/>
          <w:szCs w:val="52"/>
        </w:rPr>
      </w:pPr>
      <w:r>
        <w:rPr>
          <w:rFonts w:hint="eastAsia" w:ascii="Calibri" w:hAnsi="Calibri" w:eastAsia="黑体"/>
          <w:b/>
          <w:bCs/>
          <w:sz w:val="52"/>
          <w:szCs w:val="52"/>
        </w:rPr>
        <w:t>安全评价报告</w:t>
      </w:r>
    </w:p>
    <w:p>
      <w:pPr>
        <w:widowControl/>
        <w:rPr>
          <w:rFonts w:hint="eastAsia" w:ascii="仿宋_GB2312" w:eastAsia="仿宋_GB2312"/>
          <w:kern w:val="0"/>
          <w:sz w:val="32"/>
        </w:rPr>
      </w:pPr>
    </w:p>
    <w:p>
      <w:pPr>
        <w:widowControl/>
        <w:rPr>
          <w:rFonts w:hint="eastAsia" w:ascii="仿宋_GB2312" w:eastAsia="仿宋_GB2312"/>
          <w:kern w:val="0"/>
          <w:sz w:val="32"/>
        </w:rPr>
      </w:pPr>
    </w:p>
    <w:p>
      <w:pPr>
        <w:widowControl/>
        <w:rPr>
          <w:rFonts w:hint="eastAsia" w:ascii="仿宋_GB2312" w:eastAsia="仿宋_GB2312"/>
          <w:kern w:val="0"/>
          <w:sz w:val="32"/>
        </w:rPr>
      </w:pPr>
    </w:p>
    <w:p>
      <w:pPr>
        <w:widowControl/>
        <w:rPr>
          <w:rFonts w:ascii="仿宋_GB2312" w:eastAsia="仿宋_GB2312"/>
          <w:kern w:val="0"/>
          <w:sz w:val="32"/>
        </w:rPr>
      </w:pPr>
    </w:p>
    <w:p>
      <w:pPr>
        <w:widowControl/>
        <w:rPr>
          <w:rFonts w:hint="eastAsia" w:ascii="仿宋_GB2312" w:eastAsia="仿宋_GB2312"/>
          <w:kern w:val="0"/>
          <w:sz w:val="32"/>
        </w:rPr>
      </w:pPr>
    </w:p>
    <w:p>
      <w:pPr>
        <w:widowControl/>
        <w:rPr>
          <w:rFonts w:hint="eastAsia" w:ascii="仿宋_GB2312" w:eastAsia="仿宋_GB2312"/>
          <w:kern w:val="0"/>
          <w:sz w:val="32"/>
        </w:rPr>
      </w:pPr>
    </w:p>
    <w:p>
      <w:pPr>
        <w:widowControl/>
        <w:rPr>
          <w:rFonts w:hint="eastAsia" w:ascii="仿宋_GB2312" w:eastAsia="仿宋_GB2312"/>
          <w:kern w:val="0"/>
          <w:sz w:val="32"/>
        </w:rPr>
      </w:pPr>
    </w:p>
    <w:p>
      <w:pPr>
        <w:widowControl/>
        <w:rPr>
          <w:rFonts w:hint="eastAsia" w:ascii="仿宋_GB2312" w:eastAsia="仿宋_GB2312"/>
          <w:kern w:val="0"/>
          <w:sz w:val="32"/>
        </w:rPr>
      </w:pPr>
    </w:p>
    <w:p>
      <w:pPr>
        <w:autoSpaceDE w:val="0"/>
        <w:adjustRightInd w:val="0"/>
        <w:snapToGrid w:val="0"/>
        <w:spacing w:line="360" w:lineRule="auto"/>
        <w:ind w:firstLine="2800" w:firstLineChars="1000"/>
        <w:jc w:val="left"/>
        <w:rPr>
          <w:rFonts w:hint="eastAsia" w:eastAsia="宋体"/>
          <w:kern w:val="28"/>
          <w:sz w:val="28"/>
          <w:szCs w:val="28"/>
          <w:lang w:eastAsia="zh-CN"/>
        </w:rPr>
      </w:pPr>
      <w:r>
        <w:rPr>
          <w:rFonts w:hint="eastAsia" w:hAnsi="宋体"/>
          <w:sz w:val="28"/>
          <w:szCs w:val="28"/>
        </w:rPr>
        <w:t>法定代表人：</w:t>
      </w:r>
      <w:r>
        <w:rPr>
          <w:rFonts w:hint="eastAsia" w:hAnsi="宋体"/>
          <w:sz w:val="28"/>
          <w:szCs w:val="28"/>
          <w:lang w:val="en-US" w:eastAsia="zh-CN"/>
        </w:rPr>
        <w:t>王  帅</w:t>
      </w:r>
    </w:p>
    <w:p>
      <w:pPr>
        <w:autoSpaceDE w:val="0"/>
        <w:spacing w:line="360" w:lineRule="auto"/>
        <w:ind w:firstLine="2800" w:firstLineChars="1000"/>
        <w:jc w:val="left"/>
        <w:rPr>
          <w:rFonts w:hint="eastAsia"/>
          <w:sz w:val="28"/>
          <w:szCs w:val="28"/>
        </w:rPr>
      </w:pPr>
      <w:r>
        <w:rPr>
          <w:rFonts w:hint="eastAsia"/>
          <w:sz w:val="28"/>
          <w:szCs w:val="28"/>
        </w:rPr>
        <w:t xml:space="preserve"> </w:t>
      </w:r>
    </w:p>
    <w:p>
      <w:pPr>
        <w:autoSpaceDE w:val="0"/>
        <w:adjustRightInd w:val="0"/>
        <w:snapToGrid w:val="0"/>
        <w:spacing w:line="360" w:lineRule="auto"/>
        <w:ind w:firstLine="2800" w:firstLineChars="1000"/>
        <w:jc w:val="left"/>
        <w:rPr>
          <w:rFonts w:hint="default" w:eastAsia="宋体"/>
          <w:sz w:val="28"/>
          <w:szCs w:val="28"/>
          <w:lang w:val="en-US" w:eastAsia="zh-CN"/>
        </w:rPr>
      </w:pPr>
      <w:r>
        <w:rPr>
          <w:rFonts w:hint="eastAsia" w:hAnsi="宋体"/>
          <w:sz w:val="28"/>
          <w:szCs w:val="28"/>
        </w:rPr>
        <w:t>技术负责人：</w:t>
      </w:r>
      <w:r>
        <w:rPr>
          <w:rFonts w:hint="eastAsia" w:hAnsi="宋体"/>
          <w:sz w:val="28"/>
          <w:szCs w:val="28"/>
          <w:lang w:val="en-US" w:eastAsia="zh-CN"/>
        </w:rPr>
        <w:t>候文良</w:t>
      </w:r>
    </w:p>
    <w:p>
      <w:pPr>
        <w:autoSpaceDE w:val="0"/>
        <w:spacing w:line="360" w:lineRule="auto"/>
        <w:ind w:firstLine="2800" w:firstLineChars="1000"/>
        <w:jc w:val="left"/>
        <w:rPr>
          <w:rFonts w:hint="eastAsia"/>
          <w:sz w:val="28"/>
          <w:szCs w:val="28"/>
        </w:rPr>
      </w:pPr>
      <w:r>
        <w:rPr>
          <w:rFonts w:hint="eastAsia"/>
          <w:sz w:val="28"/>
          <w:szCs w:val="28"/>
        </w:rPr>
        <w:t xml:space="preserve"> </w:t>
      </w:r>
    </w:p>
    <w:p>
      <w:pPr>
        <w:autoSpaceDE w:val="0"/>
        <w:adjustRightInd w:val="0"/>
        <w:snapToGrid w:val="0"/>
        <w:spacing w:line="360" w:lineRule="auto"/>
        <w:ind w:firstLine="2800" w:firstLineChars="1000"/>
        <w:jc w:val="left"/>
        <w:rPr>
          <w:rFonts w:hint="eastAsia" w:eastAsia="宋体"/>
          <w:sz w:val="28"/>
          <w:szCs w:val="28"/>
          <w:lang w:eastAsia="zh-CN"/>
        </w:rPr>
      </w:pPr>
      <w:r>
        <w:rPr>
          <w:rFonts w:hint="eastAsia" w:hAnsi="宋体"/>
          <w:sz w:val="28"/>
          <w:szCs w:val="28"/>
        </w:rPr>
        <w:t>项目负责人：</w:t>
      </w:r>
      <w:r>
        <w:rPr>
          <w:rFonts w:hint="eastAsia" w:hAnsi="宋体"/>
          <w:sz w:val="28"/>
          <w:szCs w:val="28"/>
          <w:lang w:val="en-US" w:eastAsia="zh-CN"/>
        </w:rPr>
        <w:t>张鹏飞</w:t>
      </w:r>
    </w:p>
    <w:p>
      <w:pPr>
        <w:autoSpaceDE w:val="0"/>
        <w:adjustRightInd w:val="0"/>
        <w:snapToGrid w:val="0"/>
        <w:spacing w:line="360" w:lineRule="auto"/>
        <w:ind w:firstLine="840" w:firstLineChars="400"/>
        <w:rPr>
          <w:rFonts w:hint="eastAsia"/>
        </w:rPr>
      </w:pPr>
      <w:r>
        <w:rPr>
          <w:rFonts w:hint="eastAsia"/>
        </w:rPr>
        <w:t xml:space="preserve"> </w:t>
      </w:r>
    </w:p>
    <w:p>
      <w:pPr>
        <w:autoSpaceDE w:val="0"/>
        <w:adjustRightInd w:val="0"/>
        <w:snapToGrid w:val="0"/>
        <w:spacing w:line="360" w:lineRule="auto"/>
        <w:ind w:firstLine="840" w:firstLineChars="400"/>
        <w:rPr>
          <w:rFonts w:hint="eastAsia"/>
        </w:rPr>
      </w:pPr>
      <w:r>
        <w:rPr>
          <w:rFonts w:hint="eastAsia"/>
        </w:rPr>
        <w:t xml:space="preserve"> </w:t>
      </w:r>
    </w:p>
    <w:p>
      <w:pPr>
        <w:autoSpaceDE w:val="0"/>
        <w:adjustRightInd w:val="0"/>
        <w:snapToGrid w:val="0"/>
        <w:spacing w:line="360" w:lineRule="auto"/>
        <w:ind w:firstLine="840" w:firstLineChars="400"/>
        <w:rPr>
          <w:rFonts w:hint="eastAsia"/>
        </w:rPr>
      </w:pPr>
      <w:r>
        <w:rPr>
          <w:rFonts w:hint="eastAsia"/>
        </w:rPr>
        <w:t xml:space="preserve"> </w:t>
      </w:r>
    </w:p>
    <w:p>
      <w:pPr>
        <w:widowControl/>
        <w:spacing w:line="360" w:lineRule="auto"/>
        <w:jc w:val="center"/>
        <w:rPr>
          <w:rFonts w:hint="eastAsia" w:ascii="宋体" w:hAnsi="宋体" w:eastAsia="宋体" w:cs="宋体"/>
          <w:color w:val="auto"/>
          <w:kern w:val="0"/>
          <w:sz w:val="32"/>
        </w:rPr>
      </w:pPr>
      <w:r>
        <w:rPr>
          <w:rFonts w:hint="eastAsia" w:hAnsi="宋体"/>
          <w:b/>
          <w:bCs/>
          <w:sz w:val="28"/>
          <w:szCs w:val="28"/>
        </w:rPr>
        <w:t>202</w:t>
      </w:r>
      <w:r>
        <w:rPr>
          <w:rFonts w:hint="eastAsia" w:hAnsi="宋体"/>
          <w:b/>
          <w:bCs/>
          <w:sz w:val="28"/>
          <w:szCs w:val="28"/>
          <w:lang w:val="en-US" w:eastAsia="zh-CN"/>
        </w:rPr>
        <w:t>3</w:t>
      </w:r>
      <w:r>
        <w:rPr>
          <w:rFonts w:hint="eastAsia" w:hAnsi="宋体"/>
          <w:b/>
          <w:bCs/>
          <w:sz w:val="28"/>
          <w:szCs w:val="28"/>
        </w:rPr>
        <w:t>年</w:t>
      </w:r>
      <w:r>
        <w:rPr>
          <w:rFonts w:hint="eastAsia" w:hAnsi="宋体"/>
          <w:b/>
          <w:bCs/>
          <w:sz w:val="28"/>
          <w:szCs w:val="28"/>
          <w:lang w:val="en-US" w:eastAsia="zh-CN"/>
        </w:rPr>
        <w:t>10</w:t>
      </w:r>
      <w:r>
        <w:rPr>
          <w:rFonts w:hint="eastAsia" w:hAnsi="宋体"/>
          <w:b/>
          <w:bCs/>
          <w:sz w:val="28"/>
          <w:szCs w:val="28"/>
        </w:rPr>
        <w:t>月</w:t>
      </w:r>
      <w:r>
        <w:rPr>
          <w:rFonts w:hint="eastAsia" w:hAnsi="宋体"/>
          <w:b/>
          <w:bCs/>
          <w:sz w:val="28"/>
          <w:szCs w:val="28"/>
          <w:lang w:val="en-US" w:eastAsia="zh-CN"/>
        </w:rPr>
        <w:t>20</w:t>
      </w:r>
      <w:r>
        <w:rPr>
          <w:rFonts w:hint="eastAsia" w:hAnsi="宋体"/>
          <w:b/>
          <w:bCs/>
          <w:sz w:val="28"/>
          <w:szCs w:val="28"/>
        </w:rPr>
        <w:t>日</w:t>
      </w:r>
    </w:p>
    <w:p>
      <w:pPr>
        <w:widowControl/>
        <w:spacing w:line="360" w:lineRule="auto"/>
        <w:rPr>
          <w:rFonts w:hint="eastAsia" w:ascii="宋体" w:hAnsi="宋体" w:eastAsia="宋体" w:cs="宋体"/>
          <w:color w:val="auto"/>
          <w:kern w:val="0"/>
          <w:sz w:val="32"/>
        </w:rPr>
      </w:pPr>
    </w:p>
    <w:p>
      <w:pPr>
        <w:pStyle w:val="2"/>
        <w:rPr>
          <w:rFonts w:hint="default"/>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rPr>
          <w:rFonts w:hint="eastAsia" w:ascii="宋体" w:hAnsi="宋体" w:eastAsia="宋体" w:cs="宋体"/>
          <w:b/>
          <w:color w:val="auto"/>
          <w:sz w:val="32"/>
          <w:szCs w:val="32"/>
        </w:rPr>
      </w:pPr>
      <w:r>
        <w:rPr>
          <w:rFonts w:hint="eastAsia" w:ascii="宋体" w:hAnsi="宋体" w:eastAsia="宋体" w:cs="宋体"/>
          <w:b/>
          <w:color w:val="auto"/>
          <w:sz w:val="32"/>
          <w:szCs w:val="32"/>
        </w:rPr>
        <w:t>编制说明</w:t>
      </w:r>
    </w:p>
    <w:p>
      <w:pPr>
        <w:spacing w:line="360" w:lineRule="auto"/>
        <w:ind w:firstLine="560" w:firstLineChars="200"/>
        <w:rPr>
          <w:rFonts w:hint="default" w:ascii="Times New Roman" w:hAnsi="Times New Roman" w:eastAsia="宋体" w:cs="Times New Roman"/>
          <w:color w:val="auto"/>
          <w:sz w:val="28"/>
          <w:szCs w:val="28"/>
          <w:lang w:eastAsia="zh-CN"/>
        </w:rPr>
      </w:pP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lang w:eastAsia="zh-CN"/>
        </w:rPr>
        <w:t>成立于</w:t>
      </w:r>
      <w:r>
        <w:rPr>
          <w:rFonts w:hint="eastAsia" w:ascii="Times New Roman" w:hAnsi="Times New Roman" w:eastAsia="宋体" w:cs="Times New Roman"/>
          <w:color w:val="auto"/>
          <w:sz w:val="28"/>
          <w:szCs w:val="28"/>
          <w:lang w:val="en-US" w:eastAsia="zh-CN"/>
        </w:rPr>
        <w:t>20</w:t>
      </w:r>
      <w:r>
        <w:rPr>
          <w:rFonts w:hint="eastAsia" w:cs="Times New Roman"/>
          <w:color w:val="auto"/>
          <w:sz w:val="28"/>
          <w:szCs w:val="28"/>
          <w:lang w:val="en-US" w:eastAsia="zh-CN"/>
        </w:rPr>
        <w:t>0</w:t>
      </w:r>
      <w:r>
        <w:rPr>
          <w:rFonts w:hint="eastAsia" w:ascii="Times New Roman" w:hAnsi="Times New Roman" w:eastAsia="宋体" w:cs="Times New Roman"/>
          <w:color w:val="auto"/>
          <w:sz w:val="28"/>
          <w:szCs w:val="28"/>
          <w:lang w:val="en-US" w:eastAsia="zh-CN"/>
        </w:rPr>
        <w:t>5年</w:t>
      </w:r>
      <w:r>
        <w:rPr>
          <w:rFonts w:hint="eastAsia" w:cs="Times New Roman"/>
          <w:color w:val="auto"/>
          <w:sz w:val="28"/>
          <w:szCs w:val="28"/>
          <w:lang w:val="en-US" w:eastAsia="zh-CN"/>
        </w:rPr>
        <w:t>02</w:t>
      </w:r>
      <w:r>
        <w:rPr>
          <w:rFonts w:hint="eastAsia"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02</w:t>
      </w:r>
      <w:r>
        <w:rPr>
          <w:rFonts w:hint="eastAsia" w:ascii="Times New Roman" w:hAnsi="Times New Roman" w:eastAsia="宋体" w:cs="Times New Roman"/>
          <w:color w:val="auto"/>
          <w:sz w:val="28"/>
          <w:szCs w:val="28"/>
          <w:lang w:val="en-US" w:eastAsia="zh-CN"/>
        </w:rPr>
        <w:t>日</w:t>
      </w:r>
      <w:r>
        <w:rPr>
          <w:rFonts w:hint="default" w:ascii="Times New Roman" w:hAnsi="Times New Roman" w:eastAsia="宋体" w:cs="Times New Roman"/>
          <w:color w:val="auto"/>
          <w:sz w:val="28"/>
          <w:szCs w:val="28"/>
          <w:lang w:eastAsia="zh-CN"/>
        </w:rPr>
        <w:t>，为有限责任公司，法定代表人为</w:t>
      </w:r>
      <w:r>
        <w:rPr>
          <w:rFonts w:hint="eastAsia" w:cs="Times New Roman"/>
          <w:color w:val="auto"/>
          <w:sz w:val="28"/>
          <w:szCs w:val="28"/>
          <w:lang w:eastAsia="zh-CN"/>
        </w:rPr>
        <w:t>蔡红</w:t>
      </w:r>
      <w:r>
        <w:rPr>
          <w:rFonts w:hint="default" w:ascii="Times New Roman" w:hAnsi="Times New Roman" w:eastAsia="宋体" w:cs="Times New Roman"/>
          <w:color w:val="auto"/>
          <w:sz w:val="28"/>
          <w:szCs w:val="28"/>
          <w:lang w:eastAsia="zh-CN"/>
        </w:rPr>
        <w:t>，注册地址为</w:t>
      </w:r>
      <w:r>
        <w:rPr>
          <w:rFonts w:hint="eastAsia" w:cs="Times New Roman"/>
          <w:color w:val="auto"/>
          <w:sz w:val="28"/>
          <w:szCs w:val="28"/>
          <w:lang w:eastAsia="zh-CN"/>
        </w:rPr>
        <w:t>黑山县新兴镇卧牛村</w:t>
      </w:r>
      <w:r>
        <w:rPr>
          <w:rFonts w:hint="default" w:ascii="Times New Roman" w:hAnsi="Times New Roman" w:eastAsia="宋体" w:cs="Times New Roman"/>
          <w:color w:val="auto"/>
          <w:sz w:val="28"/>
          <w:szCs w:val="28"/>
          <w:lang w:eastAsia="zh-CN"/>
        </w:rPr>
        <w:t>，注册资</w:t>
      </w:r>
      <w:r>
        <w:rPr>
          <w:rFonts w:hint="eastAsia" w:cs="Times New Roman"/>
          <w:color w:val="auto"/>
          <w:sz w:val="28"/>
          <w:szCs w:val="28"/>
          <w:lang w:val="en-US" w:eastAsia="zh-CN"/>
        </w:rPr>
        <w:t>本50</w:t>
      </w:r>
      <w:r>
        <w:rPr>
          <w:rFonts w:hint="eastAsia" w:ascii="Times New Roman" w:hAnsi="Times New Roman" w:eastAsia="宋体" w:cs="Times New Roman"/>
          <w:color w:val="auto"/>
          <w:sz w:val="28"/>
          <w:szCs w:val="28"/>
          <w:lang w:eastAsia="zh-CN"/>
        </w:rPr>
        <w:t>万</w:t>
      </w:r>
      <w:r>
        <w:rPr>
          <w:rFonts w:hint="default" w:ascii="Times New Roman" w:hAnsi="Times New Roman" w:eastAsia="宋体" w:cs="Times New Roman"/>
          <w:color w:val="auto"/>
          <w:sz w:val="28"/>
          <w:szCs w:val="28"/>
          <w:lang w:eastAsia="zh-CN"/>
        </w:rPr>
        <w:t>元</w:t>
      </w:r>
      <w:r>
        <w:rPr>
          <w:rFonts w:hint="eastAsia" w:ascii="Times New Roman" w:hAnsi="Times New Roman" w:eastAsia="宋体" w:cs="Times New Roman"/>
          <w:color w:val="auto"/>
          <w:sz w:val="28"/>
          <w:szCs w:val="28"/>
          <w:lang w:eastAsia="zh-CN"/>
        </w:rPr>
        <w:t>，经营范围糠醛生产、销售。（依法须经批准的项目，经相关部门批准后方可开展经营活动。）</w:t>
      </w:r>
      <w:r>
        <w:rPr>
          <w:rFonts w:hint="default" w:ascii="Times New Roman" w:hAnsi="Times New Roman" w:eastAsia="宋体" w:cs="Times New Roman"/>
          <w:color w:val="auto"/>
          <w:sz w:val="28"/>
          <w:szCs w:val="28"/>
          <w:lang w:eastAsia="zh-CN"/>
        </w:rPr>
        <w:t>。</w:t>
      </w:r>
    </w:p>
    <w:p>
      <w:pPr>
        <w:spacing w:line="360" w:lineRule="auto"/>
        <w:ind w:firstLine="560" w:firstLineChars="200"/>
        <w:rPr>
          <w:rFonts w:hint="default" w:ascii="Times New Roman" w:hAnsi="Times New Roman" w:eastAsia="宋体" w:cs="Times New Roman"/>
          <w:color w:val="auto"/>
          <w:sz w:val="28"/>
          <w:szCs w:val="28"/>
          <w:lang w:val="en-US" w:eastAsia="zh-CN"/>
        </w:rPr>
      </w:pPr>
      <w:r>
        <w:rPr>
          <w:rFonts w:hint="eastAsia" w:cs="Times New Roman"/>
          <w:color w:val="auto"/>
          <w:sz w:val="28"/>
          <w:szCs w:val="28"/>
          <w:lang w:eastAsia="zh-CN"/>
        </w:rPr>
        <w:t>该企业</w:t>
      </w:r>
      <w:r>
        <w:rPr>
          <w:rFonts w:hint="default" w:ascii="Times New Roman" w:hAnsi="Times New Roman" w:eastAsia="宋体" w:cs="Times New Roman"/>
          <w:color w:val="auto"/>
          <w:sz w:val="28"/>
          <w:szCs w:val="28"/>
          <w:lang w:eastAsia="zh-CN"/>
        </w:rPr>
        <w:t>为危险化学品生产企业，</w:t>
      </w:r>
      <w:r>
        <w:rPr>
          <w:rFonts w:hint="eastAsia" w:ascii="Times New Roman" w:hAnsi="Times New Roman" w:eastAsia="宋体" w:cs="Times New Roman"/>
          <w:color w:val="auto"/>
          <w:sz w:val="28"/>
          <w:szCs w:val="28"/>
          <w:lang w:eastAsia="zh-CN"/>
        </w:rPr>
        <w:t>于20</w:t>
      </w:r>
      <w:r>
        <w:rPr>
          <w:rFonts w:hint="eastAsia" w:cs="Times New Roman"/>
          <w:color w:val="auto"/>
          <w:sz w:val="28"/>
          <w:szCs w:val="28"/>
          <w:lang w:val="en-US" w:eastAsia="zh-CN"/>
        </w:rPr>
        <w:t>20</w:t>
      </w:r>
      <w:r>
        <w:rPr>
          <w:rFonts w:hint="eastAsia" w:ascii="Times New Roman" w:hAnsi="Times New Roman" w:eastAsia="宋体" w:cs="Times New Roman"/>
          <w:color w:val="auto"/>
          <w:sz w:val="28"/>
          <w:szCs w:val="28"/>
          <w:lang w:eastAsia="zh-CN"/>
        </w:rPr>
        <w:t>年</w:t>
      </w:r>
      <w:r>
        <w:rPr>
          <w:rFonts w:hint="eastAsia" w:cs="Times New Roman"/>
          <w:color w:val="auto"/>
          <w:sz w:val="28"/>
          <w:szCs w:val="28"/>
          <w:lang w:val="en-US" w:eastAsia="zh-CN"/>
        </w:rPr>
        <w:t>07</w:t>
      </w:r>
      <w:r>
        <w:rPr>
          <w:rFonts w:hint="eastAsia" w:ascii="Times New Roman" w:hAnsi="Times New Roman" w:eastAsia="宋体" w:cs="Times New Roman"/>
          <w:color w:val="auto"/>
          <w:sz w:val="28"/>
          <w:szCs w:val="28"/>
          <w:lang w:eastAsia="zh-CN"/>
        </w:rPr>
        <w:t>月</w:t>
      </w:r>
      <w:r>
        <w:rPr>
          <w:rFonts w:hint="eastAsia" w:cs="Times New Roman"/>
          <w:color w:val="auto"/>
          <w:sz w:val="28"/>
          <w:szCs w:val="28"/>
          <w:lang w:val="en-US" w:eastAsia="zh-CN"/>
        </w:rPr>
        <w:t>24</w:t>
      </w:r>
      <w:r>
        <w:rPr>
          <w:rFonts w:hint="eastAsia" w:ascii="Times New Roman" w:hAnsi="Times New Roman" w:eastAsia="宋体" w:cs="Times New Roman"/>
          <w:color w:val="auto"/>
          <w:sz w:val="28"/>
          <w:szCs w:val="28"/>
          <w:lang w:eastAsia="zh-CN"/>
        </w:rPr>
        <w:t>日取得安全生产许可证，证号为（辽）WH安许证字[20</w:t>
      </w:r>
      <w:r>
        <w:rPr>
          <w:rFonts w:hint="eastAsia" w:cs="Times New Roman"/>
          <w:color w:val="auto"/>
          <w:sz w:val="28"/>
          <w:szCs w:val="28"/>
          <w:lang w:val="en-US" w:eastAsia="zh-CN"/>
        </w:rPr>
        <w:t>20</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1</w:t>
      </w:r>
      <w:r>
        <w:rPr>
          <w:rFonts w:hint="eastAsia" w:cs="Times New Roman"/>
          <w:color w:val="auto"/>
          <w:sz w:val="28"/>
          <w:szCs w:val="28"/>
          <w:lang w:val="en-US" w:eastAsia="zh-CN"/>
        </w:rPr>
        <w:t>190</w:t>
      </w:r>
      <w:r>
        <w:rPr>
          <w:rFonts w:hint="eastAsia" w:ascii="Times New Roman" w:hAnsi="Times New Roman" w:eastAsia="宋体" w:cs="Times New Roman"/>
          <w:color w:val="auto"/>
          <w:sz w:val="28"/>
          <w:szCs w:val="28"/>
          <w:lang w:val="en-US" w:eastAsia="zh-CN"/>
        </w:rPr>
        <w:t>，</w:t>
      </w:r>
      <w:r>
        <w:rPr>
          <w:rFonts w:hint="default" w:ascii="Times New Roman" w:hAnsi="Times New Roman" w:eastAsia="宋体" w:cs="Times New Roman"/>
          <w:color w:val="auto"/>
          <w:sz w:val="28"/>
          <w:szCs w:val="28"/>
          <w:lang w:eastAsia="zh-CN"/>
        </w:rPr>
        <w:t>安全生产许可证有效期为</w:t>
      </w:r>
      <w:r>
        <w:rPr>
          <w:rFonts w:hint="default" w:ascii="Times New Roman" w:hAnsi="Times New Roman" w:eastAsia="宋体" w:cs="Times New Roman"/>
          <w:color w:val="auto"/>
          <w:sz w:val="28"/>
          <w:szCs w:val="28"/>
          <w:lang w:val="en-US" w:eastAsia="zh-CN"/>
        </w:rPr>
        <w:t>20</w:t>
      </w:r>
      <w:r>
        <w:rPr>
          <w:rFonts w:hint="eastAsia" w:cs="Times New Roman"/>
          <w:color w:val="auto"/>
          <w:sz w:val="28"/>
          <w:szCs w:val="28"/>
          <w:lang w:val="en-US" w:eastAsia="zh-CN"/>
        </w:rPr>
        <w:t>20</w:t>
      </w:r>
      <w:r>
        <w:rPr>
          <w:rFonts w:hint="default" w:ascii="Times New Roman" w:hAnsi="Times New Roman" w:eastAsia="宋体" w:cs="Times New Roman"/>
          <w:color w:val="auto"/>
          <w:sz w:val="28"/>
          <w:szCs w:val="28"/>
          <w:lang w:val="en-US" w:eastAsia="zh-CN"/>
        </w:rPr>
        <w:t>年</w:t>
      </w:r>
      <w:r>
        <w:rPr>
          <w:rFonts w:hint="eastAsia" w:cs="Times New Roman"/>
          <w:color w:val="auto"/>
          <w:sz w:val="28"/>
          <w:szCs w:val="28"/>
          <w:lang w:val="en-US" w:eastAsia="zh-CN"/>
        </w:rPr>
        <w:t>07</w:t>
      </w:r>
      <w:r>
        <w:rPr>
          <w:rFonts w:hint="default"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24</w:t>
      </w:r>
      <w:r>
        <w:rPr>
          <w:rFonts w:hint="default" w:ascii="Times New Roman" w:hAnsi="Times New Roman" w:eastAsia="宋体" w:cs="Times New Roman"/>
          <w:color w:val="auto"/>
          <w:sz w:val="28"/>
          <w:szCs w:val="28"/>
          <w:lang w:val="en-US" w:eastAsia="zh-CN"/>
        </w:rPr>
        <w:t>日至202</w:t>
      </w:r>
      <w:r>
        <w:rPr>
          <w:rFonts w:hint="eastAsia" w:cs="Times New Roman"/>
          <w:color w:val="auto"/>
          <w:sz w:val="28"/>
          <w:szCs w:val="28"/>
          <w:lang w:val="en-US" w:eastAsia="zh-CN"/>
        </w:rPr>
        <w:t>3</w:t>
      </w:r>
      <w:r>
        <w:rPr>
          <w:rFonts w:hint="default" w:ascii="Times New Roman" w:hAnsi="Times New Roman" w:eastAsia="宋体" w:cs="Times New Roman"/>
          <w:color w:val="auto"/>
          <w:sz w:val="28"/>
          <w:szCs w:val="28"/>
          <w:lang w:val="en-US" w:eastAsia="zh-CN"/>
        </w:rPr>
        <w:t>年</w:t>
      </w:r>
      <w:r>
        <w:rPr>
          <w:rFonts w:hint="eastAsia" w:cs="Times New Roman"/>
          <w:color w:val="auto"/>
          <w:sz w:val="28"/>
          <w:szCs w:val="28"/>
          <w:lang w:val="en-US" w:eastAsia="zh-CN"/>
        </w:rPr>
        <w:t>07</w:t>
      </w:r>
      <w:r>
        <w:rPr>
          <w:rFonts w:hint="default"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23</w:t>
      </w:r>
      <w:r>
        <w:rPr>
          <w:rFonts w:hint="default" w:ascii="Times New Roman" w:hAnsi="Times New Roman" w:eastAsia="宋体" w:cs="Times New Roman"/>
          <w:color w:val="auto"/>
          <w:sz w:val="28"/>
          <w:szCs w:val="28"/>
          <w:lang w:val="en-US" w:eastAsia="zh-CN"/>
        </w:rPr>
        <w:t>日，许可范围：</w:t>
      </w:r>
      <w:r>
        <w:rPr>
          <w:rFonts w:hint="eastAsia" w:ascii="Times New Roman" w:hAnsi="Times New Roman" w:eastAsia="宋体" w:cs="Times New Roman"/>
          <w:color w:val="auto"/>
          <w:sz w:val="28"/>
          <w:szCs w:val="28"/>
          <w:lang w:val="en-US" w:eastAsia="zh-CN"/>
        </w:rPr>
        <w:t>糠醛，</w:t>
      </w:r>
      <w:r>
        <w:rPr>
          <w:rFonts w:hint="eastAsia" w:cs="Times New Roman"/>
          <w:color w:val="auto"/>
          <w:sz w:val="28"/>
          <w:szCs w:val="28"/>
          <w:lang w:val="en-US" w:eastAsia="zh-CN"/>
        </w:rPr>
        <w:t>2</w:t>
      </w:r>
      <w:r>
        <w:rPr>
          <w:rFonts w:hint="eastAsia" w:ascii="Times New Roman" w:hAnsi="Times New Roman" w:eastAsia="宋体" w:cs="Times New Roman"/>
          <w:color w:val="auto"/>
          <w:sz w:val="28"/>
          <w:szCs w:val="28"/>
          <w:lang w:val="en-US" w:eastAsia="zh-CN"/>
        </w:rPr>
        <w:t>000.00吨</w:t>
      </w:r>
      <w:r>
        <w:rPr>
          <w:rFonts w:hint="default" w:ascii="Times New Roman" w:hAnsi="Times New Roman" w:eastAsia="宋体" w:cs="Times New Roman"/>
          <w:color w:val="auto"/>
          <w:sz w:val="28"/>
          <w:szCs w:val="28"/>
          <w:lang w:val="en-US" w:eastAsia="zh-CN"/>
        </w:rPr>
        <w:t>。</w:t>
      </w:r>
      <w:r>
        <w:rPr>
          <w:rFonts w:hint="eastAsia" w:cs="Times New Roman"/>
          <w:color w:val="auto"/>
          <w:sz w:val="28"/>
          <w:szCs w:val="28"/>
          <w:lang w:val="en-US" w:eastAsia="zh-CN"/>
        </w:rPr>
        <w:t>该企业已申请</w:t>
      </w:r>
      <w:r>
        <w:rPr>
          <w:rFonts w:hint="eastAsia" w:ascii="Times New Roman" w:hAnsi="Times New Roman" w:eastAsia="宋体" w:cs="Times New Roman"/>
          <w:color w:val="auto"/>
          <w:sz w:val="28"/>
          <w:szCs w:val="28"/>
          <w:lang w:eastAsia="zh-CN"/>
        </w:rPr>
        <w:t>安全生产许可证延期</w:t>
      </w:r>
      <w:r>
        <w:rPr>
          <w:rFonts w:hint="eastAsia" w:cs="Times New Roman"/>
          <w:color w:val="auto"/>
          <w:sz w:val="28"/>
          <w:szCs w:val="28"/>
          <w:lang w:eastAsia="zh-CN"/>
        </w:rPr>
        <w:t>，提出安全生产许可证延期推迟申报。</w:t>
      </w:r>
    </w:p>
    <w:p>
      <w:pPr>
        <w:spacing w:line="360" w:lineRule="auto"/>
        <w:ind w:firstLine="560" w:firstLineChars="200"/>
        <w:rPr>
          <w:rFonts w:hint="default"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按照《安全生产许可证条例》、《危险化学品生产企业安全生产许可证实施办法》和《辽宁省危险化学品生产企业安全生产许可证实施细则》的有关规定</w:t>
      </w:r>
      <w:r>
        <w:rPr>
          <w:rFonts w:hint="default" w:ascii="Times New Roman" w:hAnsi="Times New Roman" w:eastAsia="宋体" w:cs="Times New Roman"/>
          <w:color w:val="auto"/>
          <w:sz w:val="28"/>
          <w:szCs w:val="28"/>
          <w:lang w:eastAsia="zh-CN"/>
        </w:rPr>
        <w:t>，</w:t>
      </w:r>
      <w:r>
        <w:rPr>
          <w:rFonts w:hint="eastAsia" w:cs="Times New Roman"/>
          <w:color w:val="auto"/>
          <w:sz w:val="28"/>
          <w:szCs w:val="28"/>
          <w:lang w:eastAsia="zh-CN"/>
        </w:rPr>
        <w:t>该企业拟办理安全生产许可证延期，需提交</w:t>
      </w:r>
      <w:r>
        <w:rPr>
          <w:rFonts w:hint="default" w:ascii="Times New Roman" w:hAnsi="Times New Roman" w:eastAsia="宋体" w:cs="Times New Roman"/>
          <w:color w:val="auto"/>
          <w:sz w:val="28"/>
          <w:szCs w:val="28"/>
          <w:lang w:eastAsia="zh-CN"/>
        </w:rPr>
        <w:t>具备资质的中介机构出具的安全评价报告等相关文件、资料</w:t>
      </w:r>
      <w:r>
        <w:rPr>
          <w:rFonts w:hint="eastAsia" w:cs="Times New Roman"/>
          <w:color w:val="auto"/>
          <w:sz w:val="28"/>
          <w:szCs w:val="28"/>
          <w:lang w:eastAsia="zh-CN"/>
        </w:rPr>
        <w:t>。</w:t>
      </w:r>
    </w:p>
    <w:p>
      <w:pPr>
        <w:adjustRightInd w:val="0"/>
        <w:spacing w:line="360" w:lineRule="auto"/>
        <w:ind w:firstLine="560" w:firstLineChars="200"/>
        <w:rPr>
          <w:rFonts w:hint="default" w:ascii="Times New Roman" w:hAnsi="Times New Roman" w:eastAsia="宋体" w:cs="Times New Roman"/>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rPr>
        <w:t>与</w:t>
      </w:r>
      <w:r>
        <w:rPr>
          <w:rFonts w:hint="eastAsia" w:cs="Times New Roman"/>
          <w:color w:val="auto"/>
          <w:sz w:val="28"/>
          <w:szCs w:val="28"/>
          <w:lang w:eastAsia="zh-CN"/>
        </w:rPr>
        <w:t>大连百悦安全技术服务有限公司</w:t>
      </w:r>
      <w:r>
        <w:rPr>
          <w:rFonts w:hint="default" w:ascii="Times New Roman" w:hAnsi="Times New Roman" w:eastAsia="宋体" w:cs="Times New Roman"/>
          <w:color w:val="auto"/>
          <w:sz w:val="28"/>
          <w:szCs w:val="28"/>
        </w:rPr>
        <w:t>签订技术服务合同，委托</w:t>
      </w:r>
      <w:r>
        <w:rPr>
          <w:rFonts w:hint="eastAsia" w:cs="Times New Roman"/>
          <w:color w:val="auto"/>
          <w:sz w:val="28"/>
          <w:szCs w:val="28"/>
          <w:lang w:eastAsia="zh-CN"/>
        </w:rPr>
        <w:t>大连百悦安全技术服务有限公司</w:t>
      </w:r>
      <w:r>
        <w:rPr>
          <w:rFonts w:hint="default" w:ascii="Times New Roman" w:hAnsi="Times New Roman" w:eastAsia="宋体" w:cs="Times New Roman"/>
          <w:color w:val="auto"/>
          <w:sz w:val="28"/>
          <w:szCs w:val="28"/>
        </w:rPr>
        <w:t>对其危险化学品的生产现状进行安全评价。</w:t>
      </w:r>
      <w:r>
        <w:rPr>
          <w:rFonts w:hint="eastAsia" w:cs="Times New Roman"/>
          <w:color w:val="auto"/>
          <w:sz w:val="28"/>
          <w:szCs w:val="28"/>
          <w:lang w:eastAsia="zh-CN"/>
        </w:rPr>
        <w:t>大连百悦安全技术服务有限公司</w:t>
      </w:r>
      <w:r>
        <w:rPr>
          <w:rFonts w:hint="default" w:ascii="Times New Roman" w:hAnsi="Times New Roman" w:eastAsia="宋体" w:cs="Times New Roman"/>
          <w:color w:val="auto"/>
          <w:sz w:val="28"/>
          <w:szCs w:val="28"/>
        </w:rPr>
        <w:t>按照《危险化学品生产企业安全评价导则（试行）》、《辽宁省危险化学品生产企业安全生产许可证实施细则》等规定及标准的要求，对其当前的生产现状及管理现状进行安全评价，并编制安全评价报告</w:t>
      </w:r>
      <w:r>
        <w:rPr>
          <w:rFonts w:hint="default" w:ascii="Times New Roman" w:hAnsi="Times New Roman" w:eastAsia="宋体" w:cs="Times New Roman"/>
          <w:color w:val="auto"/>
          <w:sz w:val="28"/>
          <w:szCs w:val="28"/>
          <w:lang w:eastAsia="zh-CN"/>
        </w:rPr>
        <w:t>。</w:t>
      </w:r>
    </w:p>
    <w:p>
      <w:pPr>
        <w:pStyle w:val="28"/>
        <w:keepNext w:val="0"/>
        <w:keepLines w:val="0"/>
        <w:pageBreakBefore w:val="0"/>
        <w:widowControl w:val="0"/>
        <w:tabs>
          <w:tab w:val="right" w:leader="dot" w:pos="9174"/>
          <w:tab w:val="clear" w:pos="8296"/>
        </w:tabs>
        <w:kinsoku/>
        <w:wordWrap/>
        <w:overflowPunct/>
        <w:topLinePunct w:val="0"/>
        <w:autoSpaceDE/>
        <w:autoSpaceDN/>
        <w:bidi w:val="0"/>
        <w:adjustRightInd/>
        <w:snapToGrid w:val="0"/>
        <w:spacing w:before="157" w:beforeLines="50" w:after="157" w:afterLines="50" w:line="360" w:lineRule="auto"/>
        <w:ind w:right="0" w:rightChars="0" w:firstLine="0" w:firstLineChars="0"/>
        <w:jc w:val="center"/>
        <w:textAlignment w:val="auto"/>
        <w:outlineLvl w:val="9"/>
        <w:rPr>
          <w:rFonts w:hint="eastAsia" w:ascii="黑体" w:hAnsi="黑体" w:eastAsia="黑体" w:cs="黑体"/>
          <w:b w:val="0"/>
          <w:bCs w:val="0"/>
          <w:caps/>
          <w:snapToGrid/>
          <w:color w:val="auto"/>
          <w:kern w:val="2"/>
          <w:sz w:val="32"/>
          <w:szCs w:val="32"/>
          <w:highlight w:val="none"/>
          <w:lang w:val="en-US" w:eastAsia="zh-CN"/>
        </w:rPr>
      </w:pPr>
      <w:bookmarkStart w:id="0" w:name="_Toc17050_WPSOffice_Level1"/>
      <w:r>
        <w:rPr>
          <w:rFonts w:hint="eastAsia" w:ascii="黑体" w:hAnsi="黑体" w:eastAsia="黑体" w:cs="黑体"/>
          <w:b w:val="0"/>
          <w:bCs w:val="0"/>
          <w:caps/>
          <w:snapToGrid/>
          <w:color w:val="auto"/>
          <w:kern w:val="2"/>
          <w:sz w:val="32"/>
          <w:szCs w:val="32"/>
          <w:highlight w:val="none"/>
          <w:lang w:val="en-US" w:eastAsia="zh-CN"/>
        </w:rPr>
        <w:t>目  录</w:t>
      </w:r>
      <w:bookmarkEnd w:id="0"/>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TOC \o "1-2" \h \z \u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_Toc27483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1. 被评价单位概况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_Toc27483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_Toc3574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rPr>
        <w:t>1.1. 企业</w:t>
      </w:r>
      <w:r>
        <w:rPr>
          <w:rFonts w:hint="default" w:ascii="Times New Roman" w:hAnsi="Times New Roman" w:eastAsia="宋体" w:cs="Times New Roman"/>
          <w:bCs/>
          <w:kern w:val="2"/>
          <w:sz w:val="24"/>
          <w:szCs w:val="24"/>
          <w:lang w:eastAsia="zh-CN"/>
        </w:rPr>
        <w:t>简介</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_Toc3574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_Toc32112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eastAsia="zh-CN"/>
        </w:rPr>
        <w:t xml:space="preserve">1.2. </w:t>
      </w:r>
      <w:r>
        <w:rPr>
          <w:rFonts w:hint="default" w:ascii="Times New Roman" w:hAnsi="Times New Roman" w:eastAsia="宋体" w:cs="Times New Roman"/>
          <w:bCs/>
          <w:kern w:val="2"/>
          <w:sz w:val="24"/>
          <w:szCs w:val="24"/>
          <w:lang w:val="en-US" w:eastAsia="zh-CN"/>
        </w:rPr>
        <w:t>危险化学品生产申请范围及能力</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_Toc32112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_Toc12753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rPr>
        <w:t>1.3. 近三年新建、改建、扩建</w:t>
      </w:r>
      <w:r>
        <w:rPr>
          <w:rFonts w:hint="default" w:ascii="Times New Roman" w:hAnsi="Times New Roman" w:eastAsia="宋体" w:cs="Times New Roman"/>
          <w:bCs/>
          <w:kern w:val="2"/>
          <w:sz w:val="24"/>
          <w:szCs w:val="24"/>
          <w:lang w:eastAsia="zh-CN"/>
        </w:rPr>
        <w:t>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_Toc12753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_Toc12845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rPr>
        <w:t xml:space="preserve">1.4. </w:t>
      </w:r>
      <w:r>
        <w:rPr>
          <w:rFonts w:hint="default" w:ascii="Times New Roman" w:hAnsi="Times New Roman" w:eastAsia="宋体" w:cs="Times New Roman"/>
          <w:bCs/>
          <w:kern w:val="2"/>
          <w:sz w:val="24"/>
          <w:szCs w:val="24"/>
          <w:lang w:eastAsia="zh-CN"/>
        </w:rPr>
        <w:t>安全设计诊断情况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_Toc12845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_Toc9937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bidi="ar-SA"/>
        </w:rPr>
        <w:t>1.5. 周边环境、总平面布置及建构筑物情况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_Toc9937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_Toc15664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bidi="ar-SA"/>
        </w:rPr>
        <w:t>1.6. 自然条件</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_Toc15664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_Toc23775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1.7. 主要原辅料及产品情况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_Toc23775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_Toc22112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1.8. 生产工艺流程</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_Toc22112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_Toc7524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1.9. 主要设备设施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_Toc7524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_Toc13874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1.10. 公辅设施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_Toc13874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_Toc18666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bidi="ar-SA"/>
        </w:rPr>
        <w:t>1.11. 劳动定员情况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_Toc18666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_Toc17739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2. 安全评价目的、范围</w:t>
      </w:r>
      <w:r>
        <w:rPr>
          <w:rFonts w:hint="default" w:ascii="Times New Roman" w:hAnsi="Times New Roman" w:eastAsia="宋体" w:cs="Times New Roman"/>
          <w:bCs/>
          <w:sz w:val="24"/>
          <w:szCs w:val="24"/>
          <w:lang w:eastAsia="zh-CN"/>
        </w:rPr>
        <w:t>及</w:t>
      </w:r>
      <w:r>
        <w:rPr>
          <w:rFonts w:hint="default" w:ascii="Times New Roman" w:hAnsi="Times New Roman" w:eastAsia="宋体" w:cs="Times New Roman"/>
          <w:bCs/>
          <w:sz w:val="24"/>
          <w:szCs w:val="24"/>
        </w:rPr>
        <w:t>程序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_Toc17739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_Toc3772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2.1. 安全评价目的</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_Toc3772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_Toc8732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2.2. 安全评价范围</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_Toc8732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_Toc22160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2.3. 安全评价程序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_Toc22160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_Toc29797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3. 采用的安全评价方法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_Toc29797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_Toc5252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3.1. 评价单元划分</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_Toc5252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_Toc1473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3.2. 安全评价方法的选择</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_Toc1473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_Toc16878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3.3. 安全评价方法简介</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_Toc16878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_Toc4011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4. 危险、有害因素分析结果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_Toc4011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_Toc18902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4.1. 主要原料、产品的危险有害因素分析结果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_Toc18902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_Toc29344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4.2. 生产、储运过程的危险有害因素分析结果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_Toc29344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_Toc28177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bidi="ar-SA"/>
        </w:rPr>
        <w:t>4.3. “两重点，一重大”辨识结果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_Toc28177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_Toc26434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4.4. 生产装置、设施、周边环境及自然条件的影响分析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_Toc26434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_Toc4689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5. 定性、定量评价结果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_Toc4689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_Toc429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5.1. 安全生产条件的分析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_Toc429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_Toc1197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5.2. 固有危险程度</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_Toc1197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_Toc24670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5.3. 重大危险源的确定</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_Toc24670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_Toc22380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5.4. 重大生产安全事故隐患判定结果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_Toc22380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_Toc27477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5.5. 外部安全防护距离评价结果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_Toc27477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_Toc15890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6. 可能发生的危险化学品事故的预测结果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_Toc15890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_Toc28002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7. 安全对策措施与建议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_Toc28002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_Toc12297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7.1. 存在的问题及安全对策措施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_Toc12297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_Toc24764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7.2. 其他安全对策措施及建议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_Toc24764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_Toc25947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8. 安全评价结论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_Toc25947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_Toc20809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8.1. 符合性评价的综合结果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_Toc20809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_Toc9806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8.2. 安全评价结论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_Toc9806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8"/>
        <w:tabs>
          <w:tab w:val="right" w:leader="dot" w:pos="8306"/>
          <w:tab w:val="clear" w:pos="829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_Toc2633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9. 安全评价报告附件</w:t>
      </w:r>
      <w:bookmarkStart w:id="389" w:name="_GoBack"/>
      <w:bookmarkEnd w:id="389"/>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_Toc2633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_Toc27881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附件1 安全评价依据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_Toc27881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_Toc12868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附件2 危险、有害因素辨识、分析过程</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_Toc12868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54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_Toc4016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附件3 定性、定量分析过程</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_Toc4016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76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_Toc20324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附件4 外部安全防护距离判定</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_Toc20324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92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_Toc10000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附件5 重大生产安全事故隐患判定结果汇总表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_Toc10000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93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_Toc16292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附件6 安全评价结论汇总表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_Toc16292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95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3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sz w:val="24"/>
          <w:szCs w:val="24"/>
        </w:rPr>
        <w:instrText xml:space="preserve"> HYPERLINK \l _Toc11088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2"/>
          <w:sz w:val="24"/>
          <w:szCs w:val="24"/>
          <w:lang w:val="en-US" w:eastAsia="zh-CN"/>
        </w:rPr>
        <w:t>附件7 被评价单位提供的原始资料目录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_Toc11088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98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auto"/>
          <w:sz w:val="24"/>
          <w:szCs w:val="24"/>
        </w:rPr>
        <w:fldChar w:fldCharType="end"/>
      </w:r>
    </w:p>
    <w:p>
      <w:pPr>
        <w:pStyle w:val="2"/>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default" w:ascii="Times New Roman" w:hAnsi="Times New Roman" w:eastAsia="宋体" w:cs="Times New Roman"/>
          <w:color w:val="auto"/>
          <w:sz w:val="24"/>
          <w:szCs w:val="24"/>
        </w:rPr>
        <w:fldChar w:fldCharType="end"/>
      </w:r>
    </w:p>
    <w:p>
      <w:pPr>
        <w:adjustRightInd w:val="0"/>
        <w:spacing w:line="360" w:lineRule="auto"/>
        <w:outlineLvl w:val="1"/>
        <w:rPr>
          <w:rFonts w:hint="eastAsia" w:ascii="宋体" w:hAnsi="宋体" w:eastAsia="宋体" w:cs="宋体"/>
          <w:color w:val="auto"/>
          <w:sz w:val="28"/>
          <w:szCs w:val="28"/>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default" w:ascii="Times New Roman" w:hAnsi="Times New Roman" w:eastAsia="黑体" w:cs="Times New Roman"/>
          <w:b w:val="0"/>
          <w:bCs/>
          <w:sz w:val="32"/>
          <w:szCs w:val="32"/>
        </w:rPr>
      </w:pPr>
      <w:bookmarkStart w:id="1" w:name="_Toc8334_WPSOffice_Level1"/>
      <w:bookmarkStart w:id="2" w:name="_Toc2841_WPSOffice_Level1"/>
      <w:bookmarkStart w:id="3" w:name="_Toc18006_WPSOffice_Level1"/>
      <w:bookmarkStart w:id="4" w:name="_Toc27483"/>
      <w:r>
        <w:rPr>
          <w:rFonts w:hint="default" w:ascii="Times New Roman" w:hAnsi="Times New Roman" w:eastAsia="黑体" w:cs="Times New Roman"/>
          <w:b w:val="0"/>
          <w:bCs/>
          <w:sz w:val="32"/>
          <w:szCs w:val="32"/>
        </w:rPr>
        <w:t>被评价单位概况</w:t>
      </w:r>
      <w:bookmarkEnd w:id="1"/>
      <w:bookmarkEnd w:id="2"/>
      <w:bookmarkEnd w:id="3"/>
      <w:bookmarkEnd w:id="4"/>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rPr>
      </w:pPr>
      <w:bookmarkStart w:id="5" w:name="_Toc21740_WPSOffice_Level2"/>
      <w:bookmarkStart w:id="6" w:name="_Toc28449_WPSOffice_Level2"/>
      <w:bookmarkStart w:id="7" w:name="_Toc3574"/>
      <w:r>
        <w:rPr>
          <w:rFonts w:hint="eastAsia" w:ascii="楷体" w:hAnsi="楷体" w:eastAsia="楷体" w:cs="楷体"/>
          <w:b w:val="0"/>
          <w:bCs/>
          <w:kern w:val="2"/>
          <w:sz w:val="32"/>
          <w:szCs w:val="32"/>
        </w:rPr>
        <w:t>企业</w:t>
      </w:r>
      <w:bookmarkEnd w:id="5"/>
      <w:bookmarkEnd w:id="6"/>
      <w:r>
        <w:rPr>
          <w:rFonts w:hint="eastAsia" w:ascii="楷体" w:hAnsi="楷体" w:eastAsia="楷体" w:cs="楷体"/>
          <w:b w:val="0"/>
          <w:bCs/>
          <w:kern w:val="2"/>
          <w:sz w:val="32"/>
          <w:szCs w:val="32"/>
          <w:lang w:eastAsia="zh-CN"/>
        </w:rPr>
        <w:t>简介</w:t>
      </w:r>
      <w:bookmarkEnd w:id="7"/>
    </w:p>
    <w:p>
      <w:pPr>
        <w:spacing w:line="360" w:lineRule="auto"/>
        <w:ind w:firstLine="560" w:firstLineChars="200"/>
        <w:rPr>
          <w:rFonts w:hint="default" w:ascii="Times New Roman" w:hAnsi="Times New Roman" w:eastAsia="宋体" w:cs="Times New Roman"/>
          <w:color w:val="auto"/>
          <w:sz w:val="28"/>
          <w:szCs w:val="28"/>
          <w:lang w:eastAsia="zh-CN"/>
        </w:rPr>
      </w:pPr>
      <w:bookmarkStart w:id="8" w:name="_Toc532976976"/>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lang w:eastAsia="zh-CN"/>
        </w:rPr>
        <w:t>成立于</w:t>
      </w:r>
      <w:r>
        <w:rPr>
          <w:rFonts w:hint="eastAsia" w:ascii="Times New Roman" w:hAnsi="Times New Roman" w:eastAsia="宋体" w:cs="Times New Roman"/>
          <w:color w:val="auto"/>
          <w:sz w:val="28"/>
          <w:szCs w:val="28"/>
          <w:lang w:val="en-US" w:eastAsia="zh-CN"/>
        </w:rPr>
        <w:t>20</w:t>
      </w:r>
      <w:r>
        <w:rPr>
          <w:rFonts w:hint="eastAsia" w:cs="Times New Roman"/>
          <w:color w:val="auto"/>
          <w:sz w:val="28"/>
          <w:szCs w:val="28"/>
          <w:lang w:val="en-US" w:eastAsia="zh-CN"/>
        </w:rPr>
        <w:t>0</w:t>
      </w:r>
      <w:r>
        <w:rPr>
          <w:rFonts w:hint="eastAsia" w:ascii="Times New Roman" w:hAnsi="Times New Roman" w:eastAsia="宋体" w:cs="Times New Roman"/>
          <w:color w:val="auto"/>
          <w:sz w:val="28"/>
          <w:szCs w:val="28"/>
          <w:lang w:val="en-US" w:eastAsia="zh-CN"/>
        </w:rPr>
        <w:t>5年</w:t>
      </w:r>
      <w:r>
        <w:rPr>
          <w:rFonts w:hint="eastAsia" w:cs="Times New Roman"/>
          <w:color w:val="auto"/>
          <w:sz w:val="28"/>
          <w:szCs w:val="28"/>
          <w:lang w:val="en-US" w:eastAsia="zh-CN"/>
        </w:rPr>
        <w:t>02</w:t>
      </w:r>
      <w:r>
        <w:rPr>
          <w:rFonts w:hint="eastAsia"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02</w:t>
      </w:r>
      <w:r>
        <w:rPr>
          <w:rFonts w:hint="eastAsia" w:ascii="Times New Roman" w:hAnsi="Times New Roman" w:eastAsia="宋体" w:cs="Times New Roman"/>
          <w:color w:val="auto"/>
          <w:sz w:val="28"/>
          <w:szCs w:val="28"/>
          <w:lang w:val="en-US" w:eastAsia="zh-CN"/>
        </w:rPr>
        <w:t>日</w:t>
      </w:r>
      <w:r>
        <w:rPr>
          <w:rFonts w:hint="default" w:ascii="Times New Roman" w:hAnsi="Times New Roman" w:eastAsia="宋体" w:cs="Times New Roman"/>
          <w:color w:val="auto"/>
          <w:sz w:val="28"/>
          <w:szCs w:val="28"/>
          <w:lang w:eastAsia="zh-CN"/>
        </w:rPr>
        <w:t>，</w:t>
      </w:r>
      <w:r>
        <w:rPr>
          <w:rFonts w:hint="eastAsia" w:cs="Times New Roman"/>
          <w:color w:val="auto"/>
          <w:sz w:val="28"/>
          <w:szCs w:val="28"/>
          <w:lang w:val="en-US" w:eastAsia="zh-CN"/>
        </w:rPr>
        <w:t>企业类型</w:t>
      </w:r>
      <w:r>
        <w:rPr>
          <w:rFonts w:hint="default" w:ascii="Times New Roman" w:hAnsi="Times New Roman" w:eastAsia="宋体" w:cs="Times New Roman"/>
          <w:color w:val="auto"/>
          <w:sz w:val="28"/>
          <w:szCs w:val="28"/>
          <w:lang w:eastAsia="zh-CN"/>
        </w:rPr>
        <w:t>为有限责任公司，法定代表人为</w:t>
      </w:r>
      <w:r>
        <w:rPr>
          <w:rFonts w:hint="eastAsia" w:cs="Times New Roman"/>
          <w:color w:val="auto"/>
          <w:sz w:val="28"/>
          <w:szCs w:val="28"/>
          <w:lang w:eastAsia="zh-CN"/>
        </w:rPr>
        <w:t>蔡红</w:t>
      </w:r>
      <w:r>
        <w:rPr>
          <w:rFonts w:hint="default" w:ascii="Times New Roman" w:hAnsi="Times New Roman" w:eastAsia="宋体" w:cs="Times New Roman"/>
          <w:color w:val="auto"/>
          <w:sz w:val="28"/>
          <w:szCs w:val="28"/>
          <w:lang w:eastAsia="zh-CN"/>
        </w:rPr>
        <w:t>，注册地址为</w:t>
      </w:r>
      <w:r>
        <w:rPr>
          <w:rFonts w:hint="eastAsia" w:cs="Times New Roman"/>
          <w:color w:val="auto"/>
          <w:sz w:val="28"/>
          <w:szCs w:val="28"/>
          <w:lang w:eastAsia="zh-CN"/>
        </w:rPr>
        <w:t>黑山县新兴镇卧牛村</w:t>
      </w:r>
      <w:r>
        <w:rPr>
          <w:rFonts w:hint="default" w:ascii="Times New Roman" w:hAnsi="Times New Roman" w:eastAsia="宋体" w:cs="Times New Roman"/>
          <w:color w:val="auto"/>
          <w:sz w:val="28"/>
          <w:szCs w:val="28"/>
          <w:lang w:eastAsia="zh-CN"/>
        </w:rPr>
        <w:t>，注册资</w:t>
      </w:r>
      <w:r>
        <w:rPr>
          <w:rFonts w:hint="eastAsia" w:cs="Times New Roman"/>
          <w:color w:val="auto"/>
          <w:sz w:val="28"/>
          <w:szCs w:val="28"/>
          <w:lang w:val="en-US" w:eastAsia="zh-CN"/>
        </w:rPr>
        <w:t>本50</w:t>
      </w:r>
      <w:r>
        <w:rPr>
          <w:rFonts w:hint="eastAsia" w:ascii="Times New Roman" w:hAnsi="Times New Roman" w:eastAsia="宋体" w:cs="Times New Roman"/>
          <w:color w:val="auto"/>
          <w:sz w:val="28"/>
          <w:szCs w:val="28"/>
          <w:lang w:eastAsia="zh-CN"/>
        </w:rPr>
        <w:t>万</w:t>
      </w:r>
      <w:r>
        <w:rPr>
          <w:rFonts w:hint="default" w:ascii="Times New Roman" w:hAnsi="Times New Roman" w:eastAsia="宋体" w:cs="Times New Roman"/>
          <w:color w:val="auto"/>
          <w:sz w:val="28"/>
          <w:szCs w:val="28"/>
          <w:lang w:eastAsia="zh-CN"/>
        </w:rPr>
        <w:t>元</w:t>
      </w:r>
      <w:r>
        <w:rPr>
          <w:rFonts w:hint="eastAsia" w:ascii="Times New Roman" w:hAnsi="Times New Roman" w:eastAsia="宋体" w:cs="Times New Roman"/>
          <w:color w:val="auto"/>
          <w:sz w:val="28"/>
          <w:szCs w:val="28"/>
          <w:lang w:eastAsia="zh-CN"/>
        </w:rPr>
        <w:t>，经营范围糠醛生产、销售。（依法须经批准的项目，经相关部门批准后方可开展经营活动。）</w:t>
      </w:r>
      <w:r>
        <w:rPr>
          <w:rFonts w:hint="default" w:ascii="Times New Roman" w:hAnsi="Times New Roman" w:eastAsia="宋体" w:cs="Times New Roman"/>
          <w:color w:val="auto"/>
          <w:sz w:val="28"/>
          <w:szCs w:val="28"/>
          <w:lang w:eastAsia="zh-CN"/>
        </w:rPr>
        <w:t>。</w:t>
      </w:r>
    </w:p>
    <w:p>
      <w:pPr>
        <w:spacing w:line="360" w:lineRule="auto"/>
        <w:ind w:firstLine="560" w:firstLineChars="200"/>
        <w:rPr>
          <w:rFonts w:hint="eastAsia" w:cs="Times New Roman"/>
          <w:color w:val="auto"/>
          <w:sz w:val="28"/>
          <w:szCs w:val="28"/>
          <w:lang w:eastAsia="zh-CN"/>
        </w:rPr>
      </w:pPr>
      <w:r>
        <w:rPr>
          <w:rFonts w:hint="eastAsia" w:cs="Times New Roman"/>
          <w:color w:val="auto"/>
          <w:sz w:val="28"/>
          <w:szCs w:val="28"/>
          <w:lang w:eastAsia="zh-CN"/>
        </w:rPr>
        <w:t>该企业</w:t>
      </w:r>
      <w:r>
        <w:rPr>
          <w:rFonts w:hint="default" w:ascii="Times New Roman" w:hAnsi="Times New Roman" w:eastAsia="宋体" w:cs="Times New Roman"/>
          <w:color w:val="auto"/>
          <w:sz w:val="28"/>
          <w:szCs w:val="28"/>
          <w:lang w:eastAsia="zh-CN"/>
        </w:rPr>
        <w:t>为危险化学品生产企业，</w:t>
      </w:r>
      <w:r>
        <w:rPr>
          <w:rFonts w:hint="eastAsia" w:ascii="Times New Roman" w:hAnsi="Times New Roman" w:eastAsia="宋体" w:cs="Times New Roman"/>
          <w:color w:val="auto"/>
          <w:sz w:val="28"/>
          <w:szCs w:val="28"/>
          <w:lang w:eastAsia="zh-CN"/>
        </w:rPr>
        <w:t>于20</w:t>
      </w:r>
      <w:r>
        <w:rPr>
          <w:rFonts w:hint="eastAsia" w:cs="Times New Roman"/>
          <w:color w:val="auto"/>
          <w:sz w:val="28"/>
          <w:szCs w:val="28"/>
          <w:lang w:val="en-US" w:eastAsia="zh-CN"/>
        </w:rPr>
        <w:t>20</w:t>
      </w:r>
      <w:r>
        <w:rPr>
          <w:rFonts w:hint="eastAsia" w:ascii="Times New Roman" w:hAnsi="Times New Roman" w:eastAsia="宋体" w:cs="Times New Roman"/>
          <w:color w:val="auto"/>
          <w:sz w:val="28"/>
          <w:szCs w:val="28"/>
          <w:lang w:eastAsia="zh-CN"/>
        </w:rPr>
        <w:t>年</w:t>
      </w:r>
      <w:r>
        <w:rPr>
          <w:rFonts w:hint="eastAsia" w:cs="Times New Roman"/>
          <w:color w:val="auto"/>
          <w:sz w:val="28"/>
          <w:szCs w:val="28"/>
          <w:lang w:val="en-US" w:eastAsia="zh-CN"/>
        </w:rPr>
        <w:t>07</w:t>
      </w:r>
      <w:r>
        <w:rPr>
          <w:rFonts w:hint="eastAsia" w:ascii="Times New Roman" w:hAnsi="Times New Roman" w:eastAsia="宋体" w:cs="Times New Roman"/>
          <w:color w:val="auto"/>
          <w:sz w:val="28"/>
          <w:szCs w:val="28"/>
          <w:lang w:eastAsia="zh-CN"/>
        </w:rPr>
        <w:t>月</w:t>
      </w:r>
      <w:r>
        <w:rPr>
          <w:rFonts w:hint="eastAsia" w:cs="Times New Roman"/>
          <w:color w:val="auto"/>
          <w:sz w:val="28"/>
          <w:szCs w:val="28"/>
          <w:lang w:val="en-US" w:eastAsia="zh-CN"/>
        </w:rPr>
        <w:t>24</w:t>
      </w:r>
      <w:r>
        <w:rPr>
          <w:rFonts w:hint="eastAsia" w:ascii="Times New Roman" w:hAnsi="Times New Roman" w:eastAsia="宋体" w:cs="Times New Roman"/>
          <w:color w:val="auto"/>
          <w:sz w:val="28"/>
          <w:szCs w:val="28"/>
          <w:lang w:eastAsia="zh-CN"/>
        </w:rPr>
        <w:t>日取得安全生产许可证，证号为（辽）WH安许证字[20</w:t>
      </w:r>
      <w:r>
        <w:rPr>
          <w:rFonts w:hint="eastAsia" w:cs="Times New Roman"/>
          <w:color w:val="auto"/>
          <w:sz w:val="28"/>
          <w:szCs w:val="28"/>
          <w:lang w:val="en-US" w:eastAsia="zh-CN"/>
        </w:rPr>
        <w:t>20</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1</w:t>
      </w:r>
      <w:r>
        <w:rPr>
          <w:rFonts w:hint="eastAsia" w:cs="Times New Roman"/>
          <w:color w:val="auto"/>
          <w:sz w:val="28"/>
          <w:szCs w:val="28"/>
          <w:lang w:val="en-US" w:eastAsia="zh-CN"/>
        </w:rPr>
        <w:t>190</w:t>
      </w:r>
      <w:r>
        <w:rPr>
          <w:rFonts w:hint="eastAsia" w:ascii="Times New Roman" w:hAnsi="Times New Roman" w:eastAsia="宋体" w:cs="Times New Roman"/>
          <w:color w:val="auto"/>
          <w:sz w:val="28"/>
          <w:szCs w:val="28"/>
          <w:lang w:val="en-US" w:eastAsia="zh-CN"/>
        </w:rPr>
        <w:t>，</w:t>
      </w:r>
      <w:r>
        <w:rPr>
          <w:rFonts w:hint="default" w:ascii="Times New Roman" w:hAnsi="Times New Roman" w:eastAsia="宋体" w:cs="Times New Roman"/>
          <w:color w:val="auto"/>
          <w:sz w:val="28"/>
          <w:szCs w:val="28"/>
          <w:lang w:eastAsia="zh-CN"/>
        </w:rPr>
        <w:t>安全生产许可证有效期为</w:t>
      </w:r>
      <w:r>
        <w:rPr>
          <w:rFonts w:hint="default" w:ascii="Times New Roman" w:hAnsi="Times New Roman" w:eastAsia="宋体" w:cs="Times New Roman"/>
          <w:color w:val="auto"/>
          <w:sz w:val="28"/>
          <w:szCs w:val="28"/>
          <w:lang w:val="en-US" w:eastAsia="zh-CN"/>
        </w:rPr>
        <w:t>20</w:t>
      </w:r>
      <w:r>
        <w:rPr>
          <w:rFonts w:hint="eastAsia" w:cs="Times New Roman"/>
          <w:color w:val="auto"/>
          <w:sz w:val="28"/>
          <w:szCs w:val="28"/>
          <w:lang w:val="en-US" w:eastAsia="zh-CN"/>
        </w:rPr>
        <w:t>20</w:t>
      </w:r>
      <w:r>
        <w:rPr>
          <w:rFonts w:hint="default" w:ascii="Times New Roman" w:hAnsi="Times New Roman" w:eastAsia="宋体" w:cs="Times New Roman"/>
          <w:color w:val="auto"/>
          <w:sz w:val="28"/>
          <w:szCs w:val="28"/>
          <w:lang w:val="en-US" w:eastAsia="zh-CN"/>
        </w:rPr>
        <w:t>年</w:t>
      </w:r>
      <w:r>
        <w:rPr>
          <w:rFonts w:hint="eastAsia" w:cs="Times New Roman"/>
          <w:color w:val="auto"/>
          <w:sz w:val="28"/>
          <w:szCs w:val="28"/>
          <w:lang w:val="en-US" w:eastAsia="zh-CN"/>
        </w:rPr>
        <w:t>07</w:t>
      </w:r>
      <w:r>
        <w:rPr>
          <w:rFonts w:hint="default"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24</w:t>
      </w:r>
      <w:r>
        <w:rPr>
          <w:rFonts w:hint="default" w:ascii="Times New Roman" w:hAnsi="Times New Roman" w:eastAsia="宋体" w:cs="Times New Roman"/>
          <w:color w:val="auto"/>
          <w:sz w:val="28"/>
          <w:szCs w:val="28"/>
          <w:lang w:val="en-US" w:eastAsia="zh-CN"/>
        </w:rPr>
        <w:t>日至202</w:t>
      </w:r>
      <w:r>
        <w:rPr>
          <w:rFonts w:hint="eastAsia" w:cs="Times New Roman"/>
          <w:color w:val="auto"/>
          <w:sz w:val="28"/>
          <w:szCs w:val="28"/>
          <w:lang w:val="en-US" w:eastAsia="zh-CN"/>
        </w:rPr>
        <w:t>3</w:t>
      </w:r>
      <w:r>
        <w:rPr>
          <w:rFonts w:hint="default" w:ascii="Times New Roman" w:hAnsi="Times New Roman" w:eastAsia="宋体" w:cs="Times New Roman"/>
          <w:color w:val="auto"/>
          <w:sz w:val="28"/>
          <w:szCs w:val="28"/>
          <w:lang w:val="en-US" w:eastAsia="zh-CN"/>
        </w:rPr>
        <w:t>年</w:t>
      </w:r>
      <w:r>
        <w:rPr>
          <w:rFonts w:hint="eastAsia" w:cs="Times New Roman"/>
          <w:color w:val="auto"/>
          <w:sz w:val="28"/>
          <w:szCs w:val="28"/>
          <w:lang w:val="en-US" w:eastAsia="zh-CN"/>
        </w:rPr>
        <w:t>07</w:t>
      </w:r>
      <w:r>
        <w:rPr>
          <w:rFonts w:hint="default"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23</w:t>
      </w:r>
      <w:r>
        <w:rPr>
          <w:rFonts w:hint="default" w:ascii="Times New Roman" w:hAnsi="Times New Roman" w:eastAsia="宋体" w:cs="Times New Roman"/>
          <w:color w:val="auto"/>
          <w:sz w:val="28"/>
          <w:szCs w:val="28"/>
          <w:lang w:val="en-US" w:eastAsia="zh-CN"/>
        </w:rPr>
        <w:t>日，许可范围：</w:t>
      </w:r>
      <w:r>
        <w:rPr>
          <w:rFonts w:hint="eastAsia" w:ascii="Times New Roman" w:hAnsi="Times New Roman" w:eastAsia="宋体" w:cs="Times New Roman"/>
          <w:color w:val="auto"/>
          <w:sz w:val="28"/>
          <w:szCs w:val="28"/>
          <w:lang w:val="en-US" w:eastAsia="zh-CN"/>
        </w:rPr>
        <w:t>糠醛，</w:t>
      </w:r>
      <w:r>
        <w:rPr>
          <w:rFonts w:hint="eastAsia" w:cs="Times New Roman"/>
          <w:color w:val="auto"/>
          <w:sz w:val="28"/>
          <w:szCs w:val="28"/>
          <w:lang w:val="en-US" w:eastAsia="zh-CN"/>
        </w:rPr>
        <w:t>2</w:t>
      </w:r>
      <w:r>
        <w:rPr>
          <w:rFonts w:hint="eastAsia" w:ascii="Times New Roman" w:hAnsi="Times New Roman" w:eastAsia="宋体" w:cs="Times New Roman"/>
          <w:color w:val="auto"/>
          <w:sz w:val="28"/>
          <w:szCs w:val="28"/>
          <w:lang w:val="en-US" w:eastAsia="zh-CN"/>
        </w:rPr>
        <w:t>000.00吨</w:t>
      </w:r>
      <w:r>
        <w:rPr>
          <w:rFonts w:hint="default" w:ascii="Times New Roman" w:hAnsi="Times New Roman" w:eastAsia="宋体" w:cs="Times New Roman"/>
          <w:color w:val="auto"/>
          <w:sz w:val="28"/>
          <w:szCs w:val="28"/>
          <w:lang w:val="en-US" w:eastAsia="zh-CN"/>
        </w:rPr>
        <w:t>。</w:t>
      </w:r>
      <w:r>
        <w:rPr>
          <w:rFonts w:hint="eastAsia" w:cs="Times New Roman"/>
          <w:color w:val="auto"/>
          <w:sz w:val="28"/>
          <w:szCs w:val="28"/>
          <w:lang w:val="en-US" w:eastAsia="zh-CN"/>
        </w:rPr>
        <w:t>该企业已申请</w:t>
      </w:r>
      <w:r>
        <w:rPr>
          <w:rFonts w:hint="eastAsia" w:ascii="Times New Roman" w:hAnsi="Times New Roman" w:eastAsia="宋体" w:cs="Times New Roman"/>
          <w:color w:val="auto"/>
          <w:sz w:val="28"/>
          <w:szCs w:val="28"/>
          <w:lang w:eastAsia="zh-CN"/>
        </w:rPr>
        <w:t>安全生产许可证延期</w:t>
      </w:r>
      <w:r>
        <w:rPr>
          <w:rFonts w:hint="eastAsia" w:cs="Times New Roman"/>
          <w:color w:val="auto"/>
          <w:sz w:val="28"/>
          <w:szCs w:val="28"/>
          <w:lang w:eastAsia="zh-CN"/>
        </w:rPr>
        <w:t>，提出安全生产许可证延期推迟申报。</w:t>
      </w:r>
    </w:p>
    <w:p>
      <w:pPr>
        <w:spacing w:line="360" w:lineRule="auto"/>
        <w:ind w:firstLine="560" w:firstLineChars="200"/>
        <w:rPr>
          <w:rFonts w:hint="eastAsia" w:cs="Times New Roman"/>
          <w:color w:val="auto"/>
          <w:sz w:val="28"/>
          <w:szCs w:val="28"/>
          <w:lang w:eastAsia="zh-CN"/>
        </w:rPr>
      </w:pPr>
      <w:r>
        <w:rPr>
          <w:rFonts w:hint="eastAsia" w:cs="Times New Roman"/>
          <w:color w:val="auto"/>
          <w:sz w:val="28"/>
          <w:szCs w:val="28"/>
          <w:lang w:eastAsia="zh-CN"/>
        </w:rPr>
        <w:t>该企业现有员工</w:t>
      </w:r>
      <w:r>
        <w:rPr>
          <w:rFonts w:hint="eastAsia" w:cs="Times New Roman"/>
          <w:color w:val="auto"/>
          <w:sz w:val="28"/>
          <w:szCs w:val="28"/>
          <w:lang w:val="en-US" w:eastAsia="zh-CN"/>
        </w:rPr>
        <w:t>45</w:t>
      </w:r>
      <w:r>
        <w:rPr>
          <w:rFonts w:hint="eastAsia" w:cs="Times New Roman"/>
          <w:color w:val="auto"/>
          <w:sz w:val="28"/>
          <w:szCs w:val="28"/>
          <w:lang w:eastAsia="zh-CN"/>
        </w:rPr>
        <w:t>人，设置安全管理组织机构，</w:t>
      </w:r>
      <w:r>
        <w:rPr>
          <w:rFonts w:hint="eastAsia" w:cs="Times New Roman"/>
          <w:color w:val="auto"/>
          <w:sz w:val="28"/>
          <w:szCs w:val="28"/>
          <w:lang w:val="en-US" w:eastAsia="zh-CN"/>
        </w:rPr>
        <w:t>并</w:t>
      </w:r>
      <w:r>
        <w:rPr>
          <w:rFonts w:hint="eastAsia" w:cs="Times New Roman"/>
          <w:color w:val="auto"/>
          <w:sz w:val="28"/>
          <w:szCs w:val="28"/>
          <w:lang w:eastAsia="zh-CN"/>
        </w:rPr>
        <w:t>配备</w:t>
      </w:r>
      <w:r>
        <w:rPr>
          <w:rFonts w:hint="eastAsia" w:cs="Times New Roman"/>
          <w:color w:val="auto"/>
          <w:sz w:val="28"/>
          <w:szCs w:val="28"/>
          <w:lang w:val="en-US" w:eastAsia="zh-CN"/>
        </w:rPr>
        <w:t>1名</w:t>
      </w:r>
      <w:r>
        <w:rPr>
          <w:rFonts w:hint="eastAsia" w:cs="Times New Roman"/>
          <w:color w:val="auto"/>
          <w:sz w:val="28"/>
          <w:szCs w:val="28"/>
          <w:lang w:eastAsia="zh-CN"/>
        </w:rPr>
        <w:t>专职安全生产管理人员。</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Times New Roman" w:hAnsi="Times New Roman" w:eastAsia="宋体" w:cs="Times New Roman"/>
          <w:color w:val="000000"/>
          <w:sz w:val="28"/>
          <w:szCs w:val="28"/>
          <w:lang w:eastAsia="zh-CN"/>
        </w:rPr>
      </w:pPr>
      <w:bookmarkStart w:id="9" w:name="_Toc32112"/>
      <w:r>
        <w:rPr>
          <w:rFonts w:hint="eastAsia" w:ascii="楷体" w:hAnsi="楷体" w:eastAsia="楷体" w:cs="楷体"/>
          <w:b w:val="0"/>
          <w:bCs/>
          <w:kern w:val="2"/>
          <w:sz w:val="32"/>
          <w:szCs w:val="32"/>
          <w:lang w:val="en-US" w:eastAsia="zh-CN"/>
        </w:rPr>
        <w:t>危险化学品生产申请范围及能力</w:t>
      </w:r>
      <w:bookmarkEnd w:id="9"/>
    </w:p>
    <w:p>
      <w:pPr>
        <w:spacing w:line="360" w:lineRule="auto"/>
        <w:ind w:firstLine="560" w:firstLineChars="200"/>
        <w:rPr>
          <w:rFonts w:hint="default" w:ascii="Times New Roman" w:hAnsi="Times New Roman" w:eastAsia="宋体" w:cs="Times New Roman"/>
          <w:color w:val="000000"/>
          <w:sz w:val="28"/>
          <w:szCs w:val="28"/>
          <w:lang w:val="en-US" w:eastAsia="zh-CN"/>
        </w:rPr>
      </w:pPr>
      <w:r>
        <w:rPr>
          <w:rFonts w:hint="eastAsia" w:ascii="Times New Roman" w:hAnsi="Times New Roman" w:eastAsia="宋体" w:cs="Times New Roman"/>
          <w:color w:val="000000"/>
          <w:sz w:val="28"/>
          <w:szCs w:val="28"/>
          <w:lang w:eastAsia="zh-CN"/>
        </w:rPr>
        <w:t>本次拟进行安全生产许可证的延期换证申请，申请范围见表1</w:t>
      </w:r>
      <w:r>
        <w:rPr>
          <w:rFonts w:hint="eastAsia" w:cs="Times New Roman"/>
          <w:color w:val="000000"/>
          <w:sz w:val="28"/>
          <w:szCs w:val="28"/>
          <w:lang w:val="en-US" w:eastAsia="zh-CN"/>
        </w:rPr>
        <w:t>-</w:t>
      </w:r>
      <w:r>
        <w:rPr>
          <w:rFonts w:hint="eastAsia" w:ascii="Times New Roman" w:hAnsi="Times New Roman" w:eastAsia="宋体" w:cs="Times New Roman"/>
          <w:color w:val="000000"/>
          <w:sz w:val="28"/>
          <w:szCs w:val="28"/>
          <w:lang w:eastAsia="zh-CN"/>
        </w:rPr>
        <w:t>1</w:t>
      </w:r>
      <w:r>
        <w:rPr>
          <w:rFonts w:hint="eastAsia" w:cs="Times New Roman"/>
          <w:color w:val="00000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1 申请许可范围</w:t>
      </w:r>
    </w:p>
    <w:tbl>
      <w:tblPr>
        <w:tblStyle w:val="3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2456"/>
        <w:gridCol w:w="1664"/>
        <w:gridCol w:w="1813"/>
        <w:gridCol w:w="2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80" w:type="dxa"/>
            <w:noWrap w:val="0"/>
            <w:vAlign w:val="center"/>
          </w:tcPr>
          <w:p>
            <w:pPr>
              <w:spacing w:line="240" w:lineRule="auto"/>
              <w:jc w:val="center"/>
              <w:rPr>
                <w:rFonts w:hint="default" w:ascii="Times New Roman" w:hAnsi="Times New Roman" w:eastAsia="宋体" w:cs="Times New Roman"/>
                <w:b/>
                <w:bCs/>
                <w:snapToGrid w:val="0"/>
                <w:color w:val="auto"/>
                <w:spacing w:val="12"/>
                <w:kern w:val="0"/>
                <w:sz w:val="21"/>
                <w:szCs w:val="21"/>
              </w:rPr>
            </w:pPr>
            <w:r>
              <w:rPr>
                <w:rFonts w:hint="default" w:ascii="Times New Roman" w:hAnsi="Times New Roman" w:eastAsia="宋体" w:cs="Times New Roman"/>
                <w:b/>
                <w:bCs/>
                <w:snapToGrid w:val="0"/>
                <w:color w:val="auto"/>
                <w:spacing w:val="12"/>
                <w:kern w:val="0"/>
                <w:sz w:val="21"/>
                <w:szCs w:val="21"/>
              </w:rPr>
              <w:t>序号</w:t>
            </w:r>
          </w:p>
        </w:tc>
        <w:tc>
          <w:tcPr>
            <w:tcW w:w="2456" w:type="dxa"/>
            <w:noWrap w:val="0"/>
            <w:vAlign w:val="center"/>
          </w:tcPr>
          <w:p>
            <w:pPr>
              <w:spacing w:line="240" w:lineRule="auto"/>
              <w:jc w:val="center"/>
              <w:rPr>
                <w:rFonts w:hint="default" w:ascii="Times New Roman" w:hAnsi="Times New Roman" w:eastAsia="宋体" w:cs="Times New Roman"/>
                <w:b/>
                <w:bCs/>
                <w:snapToGrid w:val="0"/>
                <w:color w:val="auto"/>
                <w:spacing w:val="12"/>
                <w:kern w:val="0"/>
                <w:sz w:val="21"/>
                <w:szCs w:val="21"/>
                <w:lang w:eastAsia="zh-CN"/>
              </w:rPr>
            </w:pPr>
            <w:r>
              <w:rPr>
                <w:rFonts w:hint="default" w:ascii="Times New Roman" w:hAnsi="Times New Roman" w:eastAsia="宋体" w:cs="Times New Roman"/>
                <w:b/>
                <w:bCs/>
                <w:snapToGrid w:val="0"/>
                <w:color w:val="auto"/>
                <w:spacing w:val="12"/>
                <w:kern w:val="0"/>
                <w:sz w:val="21"/>
                <w:szCs w:val="21"/>
                <w:lang w:eastAsia="zh-CN"/>
              </w:rPr>
              <w:t>生产产品</w:t>
            </w:r>
          </w:p>
        </w:tc>
        <w:tc>
          <w:tcPr>
            <w:tcW w:w="1664" w:type="dxa"/>
            <w:noWrap w:val="0"/>
            <w:vAlign w:val="center"/>
          </w:tcPr>
          <w:p>
            <w:pPr>
              <w:spacing w:line="240" w:lineRule="auto"/>
              <w:jc w:val="center"/>
              <w:rPr>
                <w:rFonts w:hint="default" w:ascii="Times New Roman" w:hAnsi="Times New Roman" w:eastAsia="宋体" w:cs="Times New Roman"/>
                <w:b/>
                <w:bCs/>
                <w:snapToGrid w:val="0"/>
                <w:color w:val="auto"/>
                <w:spacing w:val="12"/>
                <w:kern w:val="0"/>
                <w:sz w:val="21"/>
                <w:szCs w:val="21"/>
              </w:rPr>
            </w:pPr>
            <w:r>
              <w:rPr>
                <w:rFonts w:hint="default" w:ascii="Times New Roman" w:hAnsi="Times New Roman" w:eastAsia="宋体" w:cs="Times New Roman"/>
                <w:b/>
                <w:bCs/>
                <w:snapToGrid w:val="0"/>
                <w:color w:val="auto"/>
                <w:spacing w:val="12"/>
                <w:kern w:val="0"/>
                <w:sz w:val="21"/>
                <w:szCs w:val="21"/>
              </w:rPr>
              <w:t>危险化学品目录序号</w:t>
            </w:r>
          </w:p>
        </w:tc>
        <w:tc>
          <w:tcPr>
            <w:tcW w:w="1813" w:type="dxa"/>
            <w:noWrap w:val="0"/>
            <w:vAlign w:val="center"/>
          </w:tcPr>
          <w:p>
            <w:pPr>
              <w:spacing w:line="240" w:lineRule="auto"/>
              <w:jc w:val="center"/>
              <w:rPr>
                <w:rFonts w:hint="default" w:ascii="Times New Roman" w:hAnsi="Times New Roman" w:eastAsia="宋体" w:cs="Times New Roman"/>
                <w:b/>
                <w:bCs/>
                <w:snapToGrid w:val="0"/>
                <w:color w:val="auto"/>
                <w:spacing w:val="12"/>
                <w:kern w:val="0"/>
                <w:sz w:val="21"/>
                <w:szCs w:val="21"/>
                <w:highlight w:val="none"/>
                <w:lang w:eastAsia="zh-CN"/>
              </w:rPr>
            </w:pPr>
            <w:r>
              <w:rPr>
                <w:rFonts w:hint="default" w:ascii="Times New Roman" w:hAnsi="Times New Roman" w:eastAsia="宋体" w:cs="Times New Roman"/>
                <w:b/>
                <w:bCs/>
                <w:snapToGrid w:val="0"/>
                <w:color w:val="auto"/>
                <w:spacing w:val="12"/>
                <w:kern w:val="0"/>
                <w:sz w:val="21"/>
                <w:szCs w:val="21"/>
                <w:highlight w:val="none"/>
                <w:lang w:eastAsia="zh-CN"/>
              </w:rPr>
              <w:t>生产能力</w:t>
            </w:r>
          </w:p>
          <w:p>
            <w:pPr>
              <w:spacing w:line="240" w:lineRule="auto"/>
              <w:jc w:val="center"/>
              <w:rPr>
                <w:rFonts w:hint="default" w:ascii="Times New Roman" w:hAnsi="Times New Roman" w:eastAsia="宋体" w:cs="Times New Roman"/>
                <w:b/>
                <w:bCs/>
                <w:snapToGrid w:val="0"/>
                <w:color w:val="auto"/>
                <w:spacing w:val="12"/>
                <w:kern w:val="0"/>
                <w:sz w:val="21"/>
                <w:szCs w:val="21"/>
              </w:rPr>
            </w:pPr>
            <w:r>
              <w:rPr>
                <w:rFonts w:hint="default" w:ascii="Times New Roman" w:hAnsi="Times New Roman" w:eastAsia="宋体" w:cs="Times New Roman"/>
                <w:b/>
                <w:bCs/>
                <w:snapToGrid w:val="0"/>
                <w:color w:val="auto"/>
                <w:spacing w:val="12"/>
                <w:kern w:val="0"/>
                <w:sz w:val="21"/>
                <w:szCs w:val="21"/>
                <w:highlight w:val="none"/>
                <w:lang w:eastAsia="zh-CN"/>
              </w:rPr>
              <w:t>（</w:t>
            </w:r>
            <w:r>
              <w:rPr>
                <w:rFonts w:hint="default" w:ascii="Times New Roman" w:hAnsi="Times New Roman" w:eastAsia="宋体" w:cs="Times New Roman"/>
                <w:b/>
                <w:bCs/>
                <w:snapToGrid w:val="0"/>
                <w:color w:val="auto"/>
                <w:spacing w:val="12"/>
                <w:kern w:val="0"/>
                <w:sz w:val="21"/>
                <w:szCs w:val="21"/>
                <w:highlight w:val="none"/>
                <w:lang w:val="en-US" w:eastAsia="zh-CN"/>
              </w:rPr>
              <w:t>t/a）</w:t>
            </w:r>
          </w:p>
        </w:tc>
        <w:tc>
          <w:tcPr>
            <w:tcW w:w="2164" w:type="dxa"/>
            <w:noWrap w:val="0"/>
            <w:vAlign w:val="center"/>
          </w:tcPr>
          <w:p>
            <w:pPr>
              <w:spacing w:line="240" w:lineRule="auto"/>
              <w:jc w:val="center"/>
              <w:rPr>
                <w:rFonts w:hint="default" w:ascii="Times New Roman" w:hAnsi="Times New Roman" w:eastAsia="宋体" w:cs="Times New Roman"/>
                <w:b/>
                <w:bCs/>
                <w:snapToGrid w:val="0"/>
                <w:color w:val="auto"/>
                <w:spacing w:val="12"/>
                <w:kern w:val="0"/>
                <w:sz w:val="21"/>
                <w:szCs w:val="21"/>
              </w:rPr>
            </w:pPr>
            <w:r>
              <w:rPr>
                <w:rFonts w:hint="default" w:ascii="Times New Roman" w:hAnsi="Times New Roman" w:eastAsia="宋体" w:cs="Times New Roman"/>
                <w:b/>
                <w:bCs/>
                <w:snapToGrid w:val="0"/>
                <w:color w:val="auto"/>
                <w:spacing w:val="12"/>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80" w:type="dxa"/>
            <w:noWrap w:val="0"/>
            <w:vAlign w:val="center"/>
          </w:tcPr>
          <w:p>
            <w:pPr>
              <w:numPr>
                <w:ilvl w:val="0"/>
                <w:numId w:val="4"/>
              </w:numPr>
              <w:spacing w:line="240" w:lineRule="auto"/>
              <w:ind w:left="425" w:leftChars="0" w:hanging="325" w:firstLineChars="0"/>
              <w:jc w:val="center"/>
              <w:rPr>
                <w:rFonts w:hint="default" w:ascii="Times New Roman" w:hAnsi="Times New Roman" w:eastAsia="宋体" w:cs="Times New Roman"/>
                <w:snapToGrid w:val="0"/>
                <w:color w:val="auto"/>
                <w:spacing w:val="12"/>
                <w:kern w:val="0"/>
                <w:sz w:val="21"/>
                <w:szCs w:val="21"/>
              </w:rPr>
            </w:pPr>
          </w:p>
        </w:tc>
        <w:tc>
          <w:tcPr>
            <w:tcW w:w="2456" w:type="dxa"/>
            <w:noWrap w:val="0"/>
            <w:vAlign w:val="center"/>
          </w:tcPr>
          <w:p>
            <w:pPr>
              <w:widowControl/>
              <w:spacing w:line="360" w:lineRule="auto"/>
              <w:jc w:val="center"/>
              <w:textAlignment w:val="bottom"/>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snapToGrid/>
                <w:color w:val="000000"/>
                <w:w w:val="100"/>
                <w:kern w:val="2"/>
                <w:sz w:val="21"/>
                <w:szCs w:val="21"/>
                <w:lang w:eastAsia="zh-CN"/>
              </w:rPr>
              <w:t>糠醛</w:t>
            </w:r>
          </w:p>
        </w:tc>
        <w:tc>
          <w:tcPr>
            <w:tcW w:w="1664" w:type="dxa"/>
            <w:noWrap w:val="0"/>
            <w:vAlign w:val="center"/>
          </w:tcPr>
          <w:p>
            <w:pPr>
              <w:spacing w:line="240" w:lineRule="auto"/>
              <w:jc w:val="center"/>
              <w:rPr>
                <w:rFonts w:hint="default" w:ascii="Times New Roman" w:hAnsi="Times New Roman" w:eastAsia="宋体" w:cs="Times New Roman"/>
                <w:snapToGrid w:val="0"/>
                <w:color w:val="auto"/>
                <w:spacing w:val="12"/>
                <w:kern w:val="0"/>
                <w:sz w:val="21"/>
                <w:szCs w:val="21"/>
                <w:lang w:val="en-US" w:eastAsia="zh-CN"/>
              </w:rPr>
            </w:pPr>
            <w:r>
              <w:rPr>
                <w:rFonts w:hint="eastAsia" w:ascii="Times New Roman" w:hAnsi="Times New Roman" w:eastAsia="宋体" w:cs="Times New Roman"/>
                <w:snapToGrid w:val="0"/>
                <w:color w:val="auto"/>
                <w:spacing w:val="12"/>
                <w:kern w:val="0"/>
                <w:sz w:val="21"/>
                <w:szCs w:val="21"/>
                <w:lang w:val="en-US" w:eastAsia="zh-CN"/>
              </w:rPr>
              <w:t>1235</w:t>
            </w:r>
          </w:p>
        </w:tc>
        <w:tc>
          <w:tcPr>
            <w:tcW w:w="1813" w:type="dxa"/>
            <w:noWrap w:val="0"/>
            <w:vAlign w:val="center"/>
          </w:tcPr>
          <w:p>
            <w:pPr>
              <w:widowControl/>
              <w:spacing w:line="360" w:lineRule="auto"/>
              <w:jc w:val="center"/>
              <w:textAlignment w:val="bottom"/>
              <w:rPr>
                <w:rFonts w:hint="default" w:ascii="Times New Roman" w:hAnsi="Times New Roman" w:eastAsia="宋体" w:cs="Times New Roman"/>
                <w:kern w:val="0"/>
                <w:sz w:val="21"/>
                <w:szCs w:val="21"/>
                <w:lang w:val="en-US" w:eastAsia="zh-CN" w:bidi="ar"/>
              </w:rPr>
            </w:pPr>
            <w:r>
              <w:rPr>
                <w:rFonts w:hint="eastAsia" w:cs="Times New Roman"/>
                <w:kern w:val="0"/>
                <w:sz w:val="21"/>
                <w:szCs w:val="21"/>
                <w:lang w:val="en-US" w:eastAsia="zh-CN" w:bidi="ar"/>
              </w:rPr>
              <w:t>2</w:t>
            </w:r>
            <w:r>
              <w:rPr>
                <w:rFonts w:hint="eastAsia" w:ascii="Times New Roman" w:hAnsi="Times New Roman" w:eastAsia="宋体" w:cs="Times New Roman"/>
                <w:kern w:val="0"/>
                <w:sz w:val="21"/>
                <w:szCs w:val="21"/>
                <w:lang w:val="en-US" w:eastAsia="zh-CN" w:bidi="ar"/>
              </w:rPr>
              <w:t>000.00</w:t>
            </w:r>
          </w:p>
        </w:tc>
        <w:tc>
          <w:tcPr>
            <w:tcW w:w="2164" w:type="dxa"/>
            <w:noWrap w:val="0"/>
            <w:vAlign w:val="center"/>
          </w:tcPr>
          <w:p>
            <w:pPr>
              <w:spacing w:line="240" w:lineRule="auto"/>
              <w:jc w:val="center"/>
              <w:rPr>
                <w:rFonts w:hint="default" w:ascii="Times New Roman" w:hAnsi="Times New Roman" w:eastAsia="宋体" w:cs="Times New Roman"/>
                <w:snapToGrid w:val="0"/>
                <w:color w:val="auto"/>
                <w:spacing w:val="12"/>
                <w:kern w:val="0"/>
                <w:sz w:val="21"/>
                <w:szCs w:val="21"/>
                <w:lang w:eastAsia="zh-CN"/>
              </w:rPr>
            </w:pPr>
            <w:r>
              <w:rPr>
                <w:rFonts w:hint="default" w:ascii="Times New Roman" w:hAnsi="Times New Roman" w:eastAsia="宋体" w:cs="Times New Roman"/>
                <w:i w:val="0"/>
                <w:color w:val="auto"/>
                <w:kern w:val="0"/>
                <w:sz w:val="21"/>
                <w:szCs w:val="21"/>
                <w:highlight w:val="none"/>
                <w:u w:val="none"/>
                <w:lang w:val="en-US" w:eastAsia="zh-CN" w:bidi="ar"/>
              </w:rPr>
              <w:t>危险化学品生产</w:t>
            </w:r>
          </w:p>
        </w:tc>
      </w:tr>
    </w:tbl>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rPr>
      </w:pPr>
      <w:bookmarkStart w:id="10" w:name="_Toc532976986"/>
      <w:bookmarkStart w:id="11" w:name="_Toc3945_WPSOffice_Level2"/>
      <w:bookmarkStart w:id="12" w:name="_Toc32310_WPSOffice_Level2"/>
      <w:bookmarkStart w:id="13" w:name="_Toc12753"/>
      <w:bookmarkStart w:id="14" w:name="_Toc6430_WPSOffice_Level2"/>
      <w:bookmarkStart w:id="15" w:name="_Toc20739_WPSOffice_Level2"/>
      <w:bookmarkStart w:id="16" w:name="_Toc532976977"/>
      <w:r>
        <w:rPr>
          <w:rFonts w:hint="eastAsia" w:ascii="楷体" w:hAnsi="楷体" w:eastAsia="楷体" w:cs="楷体"/>
          <w:b w:val="0"/>
          <w:bCs/>
          <w:kern w:val="2"/>
          <w:sz w:val="32"/>
          <w:szCs w:val="32"/>
        </w:rPr>
        <w:t>近三年</w:t>
      </w:r>
      <w:bookmarkEnd w:id="10"/>
      <w:r>
        <w:rPr>
          <w:rFonts w:hint="eastAsia" w:ascii="楷体" w:hAnsi="楷体" w:eastAsia="楷体" w:cs="楷体"/>
          <w:b w:val="0"/>
          <w:bCs/>
          <w:kern w:val="2"/>
          <w:sz w:val="32"/>
          <w:szCs w:val="32"/>
        </w:rPr>
        <w:t>新建、改建、扩建</w:t>
      </w:r>
      <w:bookmarkEnd w:id="11"/>
      <w:bookmarkEnd w:id="12"/>
      <w:r>
        <w:rPr>
          <w:rFonts w:hint="eastAsia" w:ascii="楷体" w:hAnsi="楷体" w:eastAsia="楷体" w:cs="楷体"/>
          <w:b w:val="0"/>
          <w:bCs/>
          <w:kern w:val="2"/>
          <w:sz w:val="32"/>
          <w:szCs w:val="32"/>
          <w:lang w:eastAsia="zh-CN"/>
        </w:rPr>
        <w:t>情况</w:t>
      </w:r>
      <w:bookmarkEnd w:id="13"/>
    </w:p>
    <w:p>
      <w:pPr>
        <w:spacing w:line="360" w:lineRule="auto"/>
        <w:ind w:firstLine="560" w:firstLineChars="200"/>
        <w:rPr>
          <w:rFonts w:hint="eastAsia" w:ascii="Times New Roman" w:hAnsi="Times New Roman" w:eastAsia="宋体" w:cs="Times New Roman"/>
          <w:color w:val="auto"/>
          <w:sz w:val="28"/>
          <w:szCs w:val="28"/>
          <w:lang w:eastAsia="zh-CN"/>
        </w:rPr>
      </w:pPr>
      <w:bookmarkStart w:id="17" w:name="_Toc13861_WPSOffice_Level2"/>
      <w:r>
        <w:rPr>
          <w:rFonts w:hint="eastAsia" w:ascii="Times New Roman" w:hAnsi="Times New Roman" w:eastAsia="宋体" w:cs="Times New Roman"/>
          <w:color w:val="auto"/>
          <w:sz w:val="28"/>
          <w:szCs w:val="28"/>
          <w:lang w:eastAsia="zh-CN"/>
        </w:rPr>
        <w:t>该企业近三年来厂区外周边情况未发生改变，未新增生产经营单位及建构筑物，生产设备设施未发生变动，生产工艺未发生变化，产品和产量未发生变化；该企业近三年未发生生产安全事故。</w:t>
      </w:r>
      <w:r>
        <w:rPr>
          <w:rFonts w:hint="eastAsia" w:ascii="Times New Roman" w:hAnsi="Times New Roman" w:eastAsia="宋体" w:cs="Times New Roman"/>
          <w:color w:val="FF0000"/>
          <w:sz w:val="28"/>
          <w:szCs w:val="28"/>
          <w:lang w:eastAsia="zh-CN"/>
        </w:rPr>
        <w:t>企业每年按照规定要求确定安全生产投入并专款专用，</w:t>
      </w:r>
      <w:r>
        <w:rPr>
          <w:rFonts w:hint="eastAsia"/>
          <w:color w:val="FF0000"/>
          <w:sz w:val="28"/>
          <w:szCs w:val="28"/>
          <w:lang w:val="en-US" w:eastAsia="zh-CN"/>
        </w:rPr>
        <w:t>还</w:t>
      </w:r>
      <w:r>
        <w:rPr>
          <w:rFonts w:hint="eastAsia"/>
          <w:color w:val="FF0000"/>
          <w:sz w:val="28"/>
          <w:szCs w:val="28"/>
        </w:rPr>
        <w:t>制定了安全风险分级管控和隐患排查治理机制，并严格执行</w:t>
      </w:r>
      <w:r>
        <w:rPr>
          <w:rFonts w:hint="eastAsia"/>
          <w:color w:val="FF0000"/>
          <w:sz w:val="28"/>
          <w:szCs w:val="28"/>
          <w:lang w:val="en-US" w:eastAsia="zh-CN"/>
        </w:rPr>
        <w:t>落实，发现安全隐患及时进行落实整改</w:t>
      </w:r>
      <w:r>
        <w:rPr>
          <w:rFonts w:hint="eastAsia"/>
          <w:color w:val="FF0000"/>
          <w:sz w:val="28"/>
          <w:szCs w:val="28"/>
        </w:rPr>
        <w:t>。</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rPr>
      </w:pPr>
      <w:bookmarkStart w:id="18" w:name="_Toc12845"/>
      <w:r>
        <w:rPr>
          <w:rFonts w:hint="eastAsia" w:ascii="楷体" w:hAnsi="楷体" w:eastAsia="楷体" w:cs="楷体"/>
          <w:b w:val="0"/>
          <w:bCs/>
          <w:kern w:val="2"/>
          <w:sz w:val="32"/>
          <w:szCs w:val="32"/>
          <w:lang w:eastAsia="zh-CN"/>
        </w:rPr>
        <w:t>安全设计诊断情况</w:t>
      </w:r>
      <w:bookmarkEnd w:id="18"/>
    </w:p>
    <w:p>
      <w:pPr>
        <w:pStyle w:val="71"/>
        <w:spacing w:line="360" w:lineRule="auto"/>
        <w:ind w:firstLine="536" w:firstLineChars="200"/>
        <w:jc w:val="left"/>
        <w:rPr>
          <w:rFonts w:hint="default" w:ascii="Times New Roman" w:hAnsi="Times New Roman" w:eastAsia="宋体" w:cs="Times New Roman"/>
          <w:snapToGrid w:val="0"/>
          <w:color w:val="000000"/>
          <w:spacing w:val="-6"/>
          <w:kern w:val="0"/>
          <w:sz w:val="28"/>
          <w:szCs w:val="28"/>
          <w:lang w:val="en-US" w:eastAsia="zh-CN"/>
        </w:rPr>
      </w:pPr>
      <w:r>
        <w:rPr>
          <w:rFonts w:hint="default" w:ascii="Times New Roman" w:hAnsi="Times New Roman" w:eastAsia="宋体" w:cs="Times New Roman"/>
          <w:snapToGrid w:val="0"/>
          <w:color w:val="000000"/>
          <w:spacing w:val="-6"/>
          <w:kern w:val="0"/>
          <w:sz w:val="28"/>
          <w:szCs w:val="28"/>
          <w:lang w:eastAsia="zh-CN"/>
        </w:rPr>
        <w:t>该企业成立于20</w:t>
      </w:r>
      <w:r>
        <w:rPr>
          <w:rFonts w:hint="eastAsia" w:eastAsia="宋体" w:cs="Times New Roman"/>
          <w:snapToGrid w:val="0"/>
          <w:color w:val="000000"/>
          <w:spacing w:val="-6"/>
          <w:kern w:val="0"/>
          <w:sz w:val="28"/>
          <w:szCs w:val="28"/>
          <w:lang w:val="en-US" w:eastAsia="zh-CN"/>
        </w:rPr>
        <w:t>0</w:t>
      </w:r>
      <w:r>
        <w:rPr>
          <w:rFonts w:hint="default" w:ascii="Times New Roman" w:hAnsi="Times New Roman" w:eastAsia="宋体" w:cs="Times New Roman"/>
          <w:snapToGrid w:val="0"/>
          <w:color w:val="000000"/>
          <w:spacing w:val="-6"/>
          <w:kern w:val="0"/>
          <w:sz w:val="28"/>
          <w:szCs w:val="28"/>
          <w:lang w:eastAsia="zh-CN"/>
        </w:rPr>
        <w:t>5年</w:t>
      </w:r>
      <w:r>
        <w:rPr>
          <w:rFonts w:hint="eastAsia" w:eastAsia="宋体" w:cs="Times New Roman"/>
          <w:snapToGrid w:val="0"/>
          <w:color w:val="000000"/>
          <w:spacing w:val="-6"/>
          <w:kern w:val="0"/>
          <w:sz w:val="28"/>
          <w:szCs w:val="28"/>
          <w:lang w:val="en-US" w:eastAsia="zh-CN"/>
        </w:rPr>
        <w:t>02</w:t>
      </w:r>
      <w:r>
        <w:rPr>
          <w:rFonts w:hint="default" w:ascii="Times New Roman" w:hAnsi="Times New Roman" w:eastAsia="宋体" w:cs="Times New Roman"/>
          <w:snapToGrid w:val="0"/>
          <w:color w:val="000000"/>
          <w:spacing w:val="-6"/>
          <w:kern w:val="0"/>
          <w:sz w:val="28"/>
          <w:szCs w:val="28"/>
          <w:lang w:eastAsia="zh-CN"/>
        </w:rPr>
        <w:t>月</w:t>
      </w:r>
      <w:r>
        <w:rPr>
          <w:rFonts w:hint="eastAsia" w:eastAsia="宋体" w:cs="Times New Roman"/>
          <w:snapToGrid w:val="0"/>
          <w:color w:val="000000"/>
          <w:spacing w:val="-6"/>
          <w:kern w:val="0"/>
          <w:sz w:val="28"/>
          <w:szCs w:val="28"/>
          <w:lang w:val="en-US" w:eastAsia="zh-CN"/>
        </w:rPr>
        <w:t>02</w:t>
      </w:r>
      <w:r>
        <w:rPr>
          <w:rFonts w:hint="default" w:ascii="Times New Roman" w:hAnsi="Times New Roman" w:eastAsia="宋体" w:cs="Times New Roman"/>
          <w:snapToGrid w:val="0"/>
          <w:color w:val="000000"/>
          <w:spacing w:val="-6"/>
          <w:kern w:val="0"/>
          <w:sz w:val="28"/>
          <w:szCs w:val="28"/>
          <w:lang w:eastAsia="zh-CN"/>
        </w:rPr>
        <w:t>日，</w:t>
      </w:r>
      <w:r>
        <w:rPr>
          <w:rFonts w:hint="eastAsia" w:eastAsia="宋体" w:cs="Times New Roman"/>
          <w:snapToGrid w:val="0"/>
          <w:color w:val="000000"/>
          <w:spacing w:val="-6"/>
          <w:kern w:val="0"/>
          <w:sz w:val="28"/>
          <w:szCs w:val="28"/>
          <w:lang w:val="en-US" w:eastAsia="zh-CN"/>
        </w:rPr>
        <w:t>厂区建设较早</w:t>
      </w:r>
      <w:r>
        <w:rPr>
          <w:rFonts w:hint="default" w:ascii="Times New Roman" w:hAnsi="Times New Roman" w:eastAsia="宋体" w:cs="Times New Roman"/>
          <w:snapToGrid w:val="0"/>
          <w:color w:val="000000"/>
          <w:spacing w:val="-6"/>
          <w:kern w:val="0"/>
          <w:sz w:val="28"/>
          <w:szCs w:val="28"/>
          <w:lang w:eastAsia="zh-CN"/>
        </w:rPr>
        <w:t>，为保证生产安全，特委托</w:t>
      </w:r>
      <w:r>
        <w:rPr>
          <w:rFonts w:hint="eastAsia" w:eastAsia="宋体" w:cs="Times New Roman"/>
          <w:snapToGrid w:val="0"/>
          <w:color w:val="000000"/>
          <w:spacing w:val="-6"/>
          <w:kern w:val="0"/>
          <w:sz w:val="28"/>
          <w:szCs w:val="28"/>
          <w:lang w:eastAsia="zh-CN"/>
        </w:rPr>
        <w:t>山东富海石化工程有限公司</w:t>
      </w:r>
      <w:r>
        <w:rPr>
          <w:rFonts w:hint="default" w:ascii="Times New Roman" w:hAnsi="Times New Roman" w:eastAsia="宋体" w:cs="Times New Roman"/>
          <w:snapToGrid w:val="0"/>
          <w:color w:val="000000"/>
          <w:spacing w:val="-6"/>
          <w:kern w:val="0"/>
          <w:sz w:val="28"/>
          <w:szCs w:val="28"/>
          <w:lang w:eastAsia="zh-CN"/>
        </w:rPr>
        <w:t>对其全厂进行了安全设计诊断</w:t>
      </w:r>
      <w:r>
        <w:rPr>
          <w:rFonts w:hint="eastAsia" w:eastAsia="宋体" w:cs="Times New Roman"/>
          <w:snapToGrid/>
          <w:spacing w:val="0"/>
          <w:w w:val="100"/>
          <w:kern w:val="2"/>
          <w:sz w:val="28"/>
          <w:szCs w:val="28"/>
          <w:lang w:val="en-US" w:eastAsia="zh-CN"/>
        </w:rPr>
        <w:t>，并</w:t>
      </w:r>
      <w:r>
        <w:rPr>
          <w:rFonts w:hint="default" w:ascii="Times New Roman" w:hAnsi="Times New Roman" w:eastAsia="宋体" w:cs="Times New Roman"/>
          <w:snapToGrid w:val="0"/>
          <w:color w:val="000000"/>
          <w:spacing w:val="-6"/>
          <w:kern w:val="0"/>
          <w:sz w:val="28"/>
          <w:szCs w:val="28"/>
          <w:lang w:val="en-US" w:eastAsia="zh-CN"/>
        </w:rPr>
        <w:t>于2022年</w:t>
      </w:r>
      <w:r>
        <w:rPr>
          <w:rFonts w:hint="eastAsia" w:eastAsia="宋体" w:cs="Times New Roman"/>
          <w:snapToGrid w:val="0"/>
          <w:color w:val="000000"/>
          <w:spacing w:val="-6"/>
          <w:kern w:val="0"/>
          <w:sz w:val="28"/>
          <w:szCs w:val="28"/>
          <w:lang w:val="en-US" w:eastAsia="zh-CN"/>
        </w:rPr>
        <w:t>06</w:t>
      </w:r>
      <w:r>
        <w:rPr>
          <w:rFonts w:hint="default" w:ascii="Times New Roman" w:hAnsi="Times New Roman" w:eastAsia="宋体" w:cs="Times New Roman"/>
          <w:snapToGrid w:val="0"/>
          <w:color w:val="000000"/>
          <w:spacing w:val="-6"/>
          <w:kern w:val="0"/>
          <w:sz w:val="28"/>
          <w:szCs w:val="28"/>
          <w:lang w:val="en-US" w:eastAsia="zh-CN"/>
        </w:rPr>
        <w:t>月出具安全设计诊断报告，</w:t>
      </w:r>
      <w:r>
        <w:rPr>
          <w:rFonts w:hint="eastAsia" w:ascii="Times New Roman" w:hAnsi="Times New Roman" w:eastAsia="宋体" w:cs="Times New Roman"/>
          <w:snapToGrid w:val="0"/>
          <w:color w:val="000000"/>
          <w:spacing w:val="-6"/>
          <w:kern w:val="0"/>
          <w:sz w:val="28"/>
          <w:szCs w:val="28"/>
          <w:lang w:val="en-US" w:eastAsia="zh-CN"/>
        </w:rPr>
        <w:t>同时</w:t>
      </w:r>
      <w:r>
        <w:rPr>
          <w:rFonts w:hint="default" w:ascii="Times New Roman" w:hAnsi="Times New Roman" w:eastAsia="宋体" w:cs="Times New Roman"/>
          <w:snapToGrid w:val="0"/>
          <w:color w:val="000000"/>
          <w:spacing w:val="-6"/>
          <w:kern w:val="0"/>
          <w:sz w:val="28"/>
          <w:szCs w:val="28"/>
          <w:lang w:val="en-US" w:eastAsia="zh-CN"/>
        </w:rPr>
        <w:t>出具总平面布置图、工艺管道及仪表流程图、设备布置图、爆炸危险区域划分图、可燃气体探测器平面布置图</w:t>
      </w:r>
      <w:r>
        <w:rPr>
          <w:rFonts w:hint="eastAsia" w:eastAsia="宋体" w:cs="Times New Roman"/>
          <w:snapToGrid w:val="0"/>
          <w:color w:val="000000"/>
          <w:spacing w:val="-6"/>
          <w:kern w:val="0"/>
          <w:sz w:val="28"/>
          <w:szCs w:val="28"/>
          <w:lang w:val="en-US" w:eastAsia="zh-CN"/>
        </w:rPr>
        <w:t>、洗眼器平面布置图</w:t>
      </w:r>
      <w:r>
        <w:rPr>
          <w:rFonts w:hint="default" w:ascii="Times New Roman" w:hAnsi="Times New Roman" w:eastAsia="宋体" w:cs="Times New Roman"/>
          <w:snapToGrid w:val="0"/>
          <w:color w:val="000000"/>
          <w:spacing w:val="-6"/>
          <w:kern w:val="0"/>
          <w:sz w:val="28"/>
          <w:szCs w:val="28"/>
          <w:lang w:val="en-US" w:eastAsia="zh-CN"/>
        </w:rPr>
        <w:t>。</w:t>
      </w:r>
    </w:p>
    <w:p>
      <w:pPr>
        <w:pStyle w:val="71"/>
        <w:spacing w:line="360" w:lineRule="auto"/>
        <w:ind w:firstLine="536" w:firstLineChars="200"/>
        <w:jc w:val="left"/>
        <w:rPr>
          <w:rFonts w:hint="default" w:ascii="Times New Roman" w:hAnsi="Times New Roman" w:eastAsia="宋体" w:cs="Times New Roman"/>
          <w:snapToGrid w:val="0"/>
          <w:color w:val="000000"/>
          <w:spacing w:val="-6"/>
          <w:kern w:val="0"/>
          <w:sz w:val="28"/>
          <w:szCs w:val="28"/>
          <w:lang w:eastAsia="zh-CN"/>
        </w:rPr>
      </w:pPr>
      <w:r>
        <w:rPr>
          <w:rFonts w:hint="default" w:ascii="Times New Roman" w:hAnsi="Times New Roman" w:eastAsia="宋体" w:cs="Times New Roman"/>
          <w:snapToGrid w:val="0"/>
          <w:color w:val="000000"/>
          <w:spacing w:val="-6"/>
          <w:kern w:val="0"/>
          <w:sz w:val="28"/>
          <w:szCs w:val="28"/>
          <w:lang w:eastAsia="zh-CN"/>
        </w:rPr>
        <w:t>安全设计诊断报告提出整改问题及建议共</w:t>
      </w:r>
      <w:r>
        <w:rPr>
          <w:rFonts w:hint="eastAsia" w:eastAsia="宋体" w:cs="Times New Roman"/>
          <w:snapToGrid w:val="0"/>
          <w:color w:val="000000"/>
          <w:spacing w:val="-6"/>
          <w:kern w:val="0"/>
          <w:sz w:val="28"/>
          <w:szCs w:val="28"/>
          <w:lang w:val="en-US" w:eastAsia="zh-CN"/>
        </w:rPr>
        <w:t>3</w:t>
      </w:r>
      <w:r>
        <w:rPr>
          <w:rFonts w:hint="default" w:ascii="Times New Roman" w:hAnsi="Times New Roman" w:eastAsia="宋体" w:cs="Times New Roman"/>
          <w:snapToGrid w:val="0"/>
          <w:color w:val="000000"/>
          <w:spacing w:val="-6"/>
          <w:kern w:val="0"/>
          <w:sz w:val="28"/>
          <w:szCs w:val="28"/>
          <w:lang w:eastAsia="zh-CN"/>
        </w:rPr>
        <w:t>项，并</w:t>
      </w:r>
      <w:r>
        <w:rPr>
          <w:rFonts w:hint="eastAsia" w:ascii="Times New Roman" w:hAnsi="Times New Roman" w:eastAsia="宋体" w:cs="Times New Roman"/>
          <w:snapToGrid w:val="0"/>
          <w:color w:val="000000"/>
          <w:spacing w:val="-6"/>
          <w:kern w:val="0"/>
          <w:sz w:val="28"/>
          <w:szCs w:val="28"/>
          <w:lang w:eastAsia="zh-CN"/>
        </w:rPr>
        <w:t>由</w:t>
      </w:r>
      <w:r>
        <w:rPr>
          <w:rFonts w:hint="default" w:ascii="Times New Roman" w:hAnsi="Times New Roman" w:eastAsia="宋体" w:cs="Times New Roman"/>
          <w:snapToGrid w:val="0"/>
          <w:color w:val="000000"/>
          <w:spacing w:val="-6"/>
          <w:kern w:val="0"/>
          <w:sz w:val="28"/>
          <w:szCs w:val="28"/>
          <w:lang w:eastAsia="zh-CN"/>
        </w:rPr>
        <w:t>设计诊断单位确认整改</w:t>
      </w:r>
      <w:r>
        <w:rPr>
          <w:rFonts w:hint="eastAsia" w:ascii="Times New Roman" w:hAnsi="Times New Roman" w:eastAsia="宋体" w:cs="Times New Roman"/>
          <w:snapToGrid w:val="0"/>
          <w:color w:val="000000"/>
          <w:spacing w:val="-6"/>
          <w:kern w:val="0"/>
          <w:sz w:val="28"/>
          <w:szCs w:val="28"/>
          <w:lang w:eastAsia="zh-CN"/>
        </w:rPr>
        <w:t>完成情况，具体情况</w:t>
      </w:r>
      <w:r>
        <w:rPr>
          <w:rFonts w:hint="default" w:ascii="Times New Roman" w:hAnsi="Times New Roman" w:eastAsia="宋体" w:cs="Times New Roman"/>
          <w:snapToGrid w:val="0"/>
          <w:color w:val="000000"/>
          <w:spacing w:val="-6"/>
          <w:kern w:val="0"/>
          <w:sz w:val="28"/>
          <w:szCs w:val="28"/>
          <w:lang w:eastAsia="zh-CN"/>
        </w:rPr>
        <w:t>如下：</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 xml:space="preserve">-2 </w:t>
      </w:r>
      <w:r>
        <w:rPr>
          <w:rFonts w:hint="eastAsia" w:ascii="Times New Roman" w:hAnsi="Times New Roman" w:eastAsia="黑体" w:cs="Times New Roman"/>
          <w:b w:val="0"/>
          <w:bCs w:val="0"/>
          <w:color w:val="000000"/>
          <w:kern w:val="28"/>
          <w:sz w:val="21"/>
          <w:szCs w:val="21"/>
          <w:lang w:val="en-US" w:eastAsia="zh-CN" w:bidi="ar-SA"/>
        </w:rPr>
        <w:t>安全设计诊断报告</w:t>
      </w:r>
      <w:r>
        <w:rPr>
          <w:rFonts w:hint="eastAsia" w:eastAsia="黑体" w:cs="Times New Roman"/>
          <w:b w:val="0"/>
          <w:bCs w:val="0"/>
          <w:color w:val="000000"/>
          <w:kern w:val="28"/>
          <w:sz w:val="21"/>
          <w:szCs w:val="21"/>
          <w:lang w:val="en-US" w:eastAsia="zh-CN" w:bidi="ar-SA"/>
        </w:rPr>
        <w:t>提出的现场整改问题及</w:t>
      </w:r>
      <w:r>
        <w:rPr>
          <w:rFonts w:hint="eastAsia" w:ascii="Times New Roman" w:hAnsi="Times New Roman" w:eastAsia="黑体" w:cs="Times New Roman"/>
          <w:b w:val="0"/>
          <w:bCs w:val="0"/>
          <w:color w:val="000000"/>
          <w:kern w:val="28"/>
          <w:sz w:val="21"/>
          <w:szCs w:val="21"/>
          <w:lang w:val="en-US" w:eastAsia="zh-CN" w:bidi="ar-SA"/>
        </w:rPr>
        <w:t>整改建议表</w:t>
      </w:r>
    </w:p>
    <w:tbl>
      <w:tblPr>
        <w:tblStyle w:val="37"/>
        <w:tblW w:w="9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2995"/>
        <w:gridCol w:w="2825"/>
        <w:gridCol w:w="2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92" w:type="dxa"/>
            <w:noWrap w:val="0"/>
            <w:vAlign w:val="center"/>
          </w:tcPr>
          <w:p>
            <w:pPr>
              <w:widowControl w:val="0"/>
              <w:numPr>
                <w:ilvl w:val="0"/>
                <w:numId w:val="0"/>
              </w:numPr>
              <w:spacing w:line="240" w:lineRule="auto"/>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序号</w:t>
            </w:r>
          </w:p>
        </w:tc>
        <w:tc>
          <w:tcPr>
            <w:tcW w:w="2995" w:type="dxa"/>
            <w:noWrap w:val="0"/>
            <w:vAlign w:val="center"/>
          </w:tcPr>
          <w:p>
            <w:pPr>
              <w:widowControl w:val="0"/>
              <w:spacing w:line="240" w:lineRule="auto"/>
              <w:jc w:val="center"/>
              <w:rPr>
                <w:rFonts w:hint="default" w:ascii="Times New Roman" w:hAnsi="Times New Roman" w:eastAsia="宋体" w:cs="Times New Roman"/>
                <w:b/>
                <w:bCs/>
                <w:spacing w:val="12"/>
                <w:sz w:val="21"/>
                <w:szCs w:val="21"/>
                <w:lang w:val="en-US" w:eastAsia="zh-CN"/>
              </w:rPr>
            </w:pPr>
            <w:r>
              <w:rPr>
                <w:rFonts w:hint="default" w:ascii="Times New Roman" w:hAnsi="Times New Roman" w:eastAsia="宋体" w:cs="Times New Roman"/>
                <w:b/>
                <w:bCs/>
                <w:spacing w:val="12"/>
                <w:sz w:val="21"/>
                <w:szCs w:val="21"/>
                <w:lang w:val="en-US" w:eastAsia="zh-CN"/>
              </w:rPr>
              <w:t>存在问题及隐患</w:t>
            </w:r>
          </w:p>
        </w:tc>
        <w:tc>
          <w:tcPr>
            <w:tcW w:w="2825" w:type="dxa"/>
            <w:noWrap w:val="0"/>
            <w:vAlign w:val="center"/>
          </w:tcPr>
          <w:p>
            <w:pPr>
              <w:widowControl w:val="0"/>
              <w:spacing w:line="240" w:lineRule="auto"/>
              <w:jc w:val="center"/>
              <w:rPr>
                <w:rFonts w:hint="default" w:ascii="Times New Roman" w:hAnsi="Times New Roman" w:eastAsia="宋体" w:cs="Times New Roman"/>
                <w:b/>
                <w:bCs/>
                <w:spacing w:val="12"/>
                <w:sz w:val="21"/>
                <w:szCs w:val="21"/>
                <w:lang w:val="en-US" w:eastAsia="zh-CN"/>
              </w:rPr>
            </w:pPr>
            <w:r>
              <w:rPr>
                <w:rFonts w:hint="default" w:ascii="Times New Roman" w:hAnsi="Times New Roman" w:eastAsia="宋体" w:cs="Times New Roman"/>
                <w:b/>
                <w:bCs/>
                <w:spacing w:val="12"/>
                <w:sz w:val="21"/>
                <w:szCs w:val="21"/>
                <w:lang w:val="en-US" w:eastAsia="zh-CN"/>
              </w:rPr>
              <w:t>整改意见</w:t>
            </w:r>
          </w:p>
        </w:tc>
        <w:tc>
          <w:tcPr>
            <w:tcW w:w="2812" w:type="dxa"/>
            <w:noWrap w:val="0"/>
            <w:vAlign w:val="center"/>
          </w:tcPr>
          <w:p>
            <w:pPr>
              <w:widowControl w:val="0"/>
              <w:spacing w:line="240" w:lineRule="auto"/>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2" w:type="dxa"/>
            <w:noWrap w:val="0"/>
            <w:vAlign w:val="center"/>
          </w:tcPr>
          <w:p>
            <w:pPr>
              <w:widowControl w:val="0"/>
              <w:numPr>
                <w:ilvl w:val="0"/>
                <w:numId w:val="5"/>
              </w:numPr>
              <w:spacing w:line="240" w:lineRule="auto"/>
              <w:ind w:left="0" w:leftChars="0" w:firstLine="76" w:firstLineChars="0"/>
              <w:jc w:val="center"/>
              <w:rPr>
                <w:rFonts w:hint="default" w:ascii="Times New Roman" w:hAnsi="Times New Roman" w:eastAsia="宋体" w:cs="Times New Roman"/>
                <w:kern w:val="2"/>
                <w:sz w:val="21"/>
                <w:szCs w:val="21"/>
                <w:lang w:val="en-US" w:eastAsia="zh-CN" w:bidi="ar-SA"/>
              </w:rPr>
            </w:pPr>
          </w:p>
        </w:tc>
        <w:tc>
          <w:tcPr>
            <w:tcW w:w="2995" w:type="dxa"/>
            <w:noWrap w:val="0"/>
            <w:vAlign w:val="center"/>
          </w:tcPr>
          <w:p>
            <w:pPr>
              <w:widowControl w:val="0"/>
              <w:spacing w:line="240" w:lineRule="auto"/>
              <w:jc w:val="both"/>
              <w:rPr>
                <w:rFonts w:hint="default" w:ascii="Times New Roman" w:hAnsi="Times New Roman" w:eastAsia="宋体" w:cs="Times New Roman"/>
                <w:spacing w:val="12"/>
                <w:sz w:val="21"/>
                <w:szCs w:val="21"/>
                <w:lang w:val="en-US" w:eastAsia="zh-CN"/>
              </w:rPr>
            </w:pPr>
            <w:r>
              <w:rPr>
                <w:rFonts w:hint="eastAsia" w:cs="Times New Roman"/>
                <w:spacing w:val="12"/>
                <w:sz w:val="21"/>
                <w:szCs w:val="21"/>
                <w:lang w:val="en-US" w:eastAsia="zh-CN"/>
              </w:rPr>
              <w:t>卸料系统应有防止粉尘的措施</w:t>
            </w:r>
            <w:r>
              <w:rPr>
                <w:rFonts w:hint="default" w:ascii="Times New Roman" w:hAnsi="Times New Roman" w:eastAsia="宋体" w:cs="Times New Roman"/>
                <w:spacing w:val="12"/>
                <w:sz w:val="21"/>
                <w:szCs w:val="21"/>
              </w:rPr>
              <w:t>。</w:t>
            </w:r>
          </w:p>
        </w:tc>
        <w:tc>
          <w:tcPr>
            <w:tcW w:w="2825" w:type="dxa"/>
            <w:noWrap w:val="0"/>
            <w:vAlign w:val="center"/>
          </w:tcPr>
          <w:p>
            <w:pPr>
              <w:widowControl w:val="0"/>
              <w:spacing w:line="240" w:lineRule="auto"/>
              <w:jc w:val="both"/>
              <w:rPr>
                <w:rFonts w:hint="default" w:ascii="Times New Roman" w:hAnsi="Times New Roman" w:eastAsia="宋体" w:cs="Times New Roman"/>
                <w:spacing w:val="12"/>
                <w:sz w:val="21"/>
                <w:szCs w:val="21"/>
                <w:lang w:val="en-US" w:eastAsia="zh-CN"/>
              </w:rPr>
            </w:pPr>
            <w:r>
              <w:rPr>
                <w:rFonts w:hint="eastAsia" w:cs="Times New Roman"/>
                <w:spacing w:val="12"/>
                <w:sz w:val="21"/>
                <w:szCs w:val="21"/>
                <w:lang w:val="en-US" w:eastAsia="zh-CN"/>
              </w:rPr>
              <w:t>卸料系统加装除尘设施（除尘器）</w:t>
            </w:r>
            <w:r>
              <w:rPr>
                <w:rFonts w:hint="default" w:ascii="Times New Roman" w:hAnsi="Times New Roman" w:eastAsia="宋体" w:cs="Times New Roman"/>
                <w:spacing w:val="12"/>
                <w:sz w:val="21"/>
                <w:szCs w:val="21"/>
              </w:rPr>
              <w:t>。</w:t>
            </w:r>
          </w:p>
        </w:tc>
        <w:tc>
          <w:tcPr>
            <w:tcW w:w="2812" w:type="dxa"/>
            <w:noWrap w:val="0"/>
            <w:vAlign w:val="center"/>
          </w:tcPr>
          <w:p>
            <w:pPr>
              <w:widowControl w:val="0"/>
              <w:spacing w:line="240" w:lineRule="auto"/>
              <w:jc w:val="both"/>
              <w:rPr>
                <w:rFonts w:hint="default" w:ascii="Times New Roman" w:hAnsi="Times New Roman" w:eastAsia="宋体" w:cs="Times New Roman"/>
                <w:spacing w:val="12"/>
                <w:kern w:val="2"/>
                <w:sz w:val="21"/>
                <w:szCs w:val="21"/>
                <w:lang w:val="en-US" w:eastAsia="zh-CN" w:bidi="ar-SA"/>
              </w:rPr>
            </w:pPr>
            <w:r>
              <w:rPr>
                <w:rFonts w:hint="eastAsia" w:cs="Times New Roman"/>
                <w:spacing w:val="12"/>
                <w:sz w:val="21"/>
                <w:szCs w:val="21"/>
                <w:lang w:val="en-US" w:eastAsia="zh-CN"/>
              </w:rPr>
              <w:t>卸料系统已加装除尘设施（除尘器）</w:t>
            </w:r>
            <w:r>
              <w:rPr>
                <w:rFonts w:hint="default" w:ascii="Times New Roman" w:hAnsi="Times New Roman" w:eastAsia="宋体" w:cs="Times New Roman"/>
                <w:spacing w:val="1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2" w:type="dxa"/>
            <w:noWrap w:val="0"/>
            <w:vAlign w:val="center"/>
          </w:tcPr>
          <w:p>
            <w:pPr>
              <w:widowControl w:val="0"/>
              <w:numPr>
                <w:ilvl w:val="0"/>
                <w:numId w:val="5"/>
              </w:numPr>
              <w:spacing w:line="240" w:lineRule="auto"/>
              <w:ind w:left="0" w:leftChars="0" w:firstLine="76" w:firstLineChars="0"/>
              <w:jc w:val="center"/>
              <w:rPr>
                <w:rFonts w:hint="default" w:ascii="Times New Roman" w:hAnsi="Times New Roman" w:eastAsia="宋体" w:cs="Times New Roman"/>
                <w:kern w:val="2"/>
                <w:sz w:val="21"/>
                <w:szCs w:val="21"/>
                <w:lang w:val="en-US" w:eastAsia="zh-CN" w:bidi="ar-SA"/>
              </w:rPr>
            </w:pPr>
          </w:p>
        </w:tc>
        <w:tc>
          <w:tcPr>
            <w:tcW w:w="2995" w:type="dxa"/>
            <w:noWrap w:val="0"/>
            <w:vAlign w:val="center"/>
          </w:tcPr>
          <w:p>
            <w:pPr>
              <w:widowControl w:val="0"/>
              <w:spacing w:line="240" w:lineRule="auto"/>
              <w:jc w:val="both"/>
              <w:rPr>
                <w:rFonts w:hint="default" w:ascii="Times New Roman" w:hAnsi="Times New Roman" w:eastAsia="宋体" w:cs="Times New Roman"/>
                <w:spacing w:val="12"/>
                <w:sz w:val="21"/>
                <w:szCs w:val="21"/>
                <w:lang w:val="en-US" w:eastAsia="zh-CN"/>
              </w:rPr>
            </w:pPr>
            <w:r>
              <w:rPr>
                <w:rFonts w:hint="eastAsia" w:cs="Times New Roman"/>
                <w:spacing w:val="12"/>
                <w:sz w:val="21"/>
                <w:szCs w:val="21"/>
                <w:lang w:val="en-US" w:eastAsia="zh-CN"/>
              </w:rPr>
              <w:t>厂房的配电室等部位，应设置消防应急照明</w:t>
            </w:r>
            <w:r>
              <w:rPr>
                <w:rFonts w:hint="default" w:ascii="Times New Roman" w:hAnsi="Times New Roman" w:eastAsia="宋体" w:cs="Times New Roman"/>
                <w:spacing w:val="12"/>
                <w:sz w:val="21"/>
                <w:szCs w:val="21"/>
              </w:rPr>
              <w:t>。</w:t>
            </w:r>
          </w:p>
        </w:tc>
        <w:tc>
          <w:tcPr>
            <w:tcW w:w="2825" w:type="dxa"/>
            <w:noWrap w:val="0"/>
            <w:vAlign w:val="center"/>
          </w:tcPr>
          <w:p>
            <w:pPr>
              <w:widowControl w:val="0"/>
              <w:spacing w:line="240" w:lineRule="auto"/>
              <w:jc w:val="both"/>
              <w:rPr>
                <w:rFonts w:hint="default" w:ascii="Times New Roman" w:hAnsi="Times New Roman" w:eastAsia="宋体" w:cs="Times New Roman"/>
                <w:spacing w:val="12"/>
                <w:sz w:val="21"/>
                <w:szCs w:val="21"/>
                <w:lang w:val="en-US" w:eastAsia="zh-CN"/>
              </w:rPr>
            </w:pPr>
            <w:r>
              <w:rPr>
                <w:rFonts w:hint="eastAsia" w:cs="Times New Roman"/>
                <w:spacing w:val="12"/>
                <w:sz w:val="21"/>
                <w:szCs w:val="21"/>
                <w:lang w:val="en-US" w:eastAsia="zh-CN"/>
              </w:rPr>
              <w:t>配电室设置应急照明、挡板等</w:t>
            </w:r>
            <w:r>
              <w:rPr>
                <w:rFonts w:hint="default" w:ascii="Times New Roman" w:hAnsi="Times New Roman" w:eastAsia="宋体" w:cs="Times New Roman"/>
                <w:spacing w:val="12"/>
                <w:sz w:val="21"/>
                <w:szCs w:val="21"/>
                <w:lang w:val="en-US" w:eastAsia="zh-CN"/>
              </w:rPr>
              <w:t>。</w:t>
            </w:r>
          </w:p>
        </w:tc>
        <w:tc>
          <w:tcPr>
            <w:tcW w:w="2812" w:type="dxa"/>
            <w:noWrap w:val="0"/>
            <w:vAlign w:val="center"/>
          </w:tcPr>
          <w:p>
            <w:pPr>
              <w:widowControl w:val="0"/>
              <w:spacing w:line="240" w:lineRule="auto"/>
              <w:jc w:val="both"/>
              <w:rPr>
                <w:rFonts w:hint="default" w:ascii="Times New Roman" w:hAnsi="Times New Roman" w:eastAsia="宋体" w:cs="Times New Roman"/>
                <w:spacing w:val="12"/>
                <w:kern w:val="2"/>
                <w:sz w:val="21"/>
                <w:szCs w:val="21"/>
                <w:lang w:val="en-US" w:eastAsia="zh-CN" w:bidi="ar-SA"/>
              </w:rPr>
            </w:pPr>
            <w:r>
              <w:rPr>
                <w:rFonts w:hint="eastAsia" w:cs="Times New Roman"/>
                <w:spacing w:val="12"/>
                <w:sz w:val="21"/>
                <w:szCs w:val="21"/>
                <w:lang w:val="en-US" w:eastAsia="zh-CN"/>
              </w:rPr>
              <w:t>配电室已设置应急照明、挡板等</w:t>
            </w:r>
            <w:r>
              <w:rPr>
                <w:rFonts w:hint="default" w:ascii="Times New Roman" w:hAnsi="Times New Roman" w:eastAsia="宋体" w:cs="Times New Roman"/>
                <w:spacing w:val="12"/>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592" w:type="dxa"/>
            <w:noWrap w:val="0"/>
            <w:vAlign w:val="center"/>
          </w:tcPr>
          <w:p>
            <w:pPr>
              <w:widowControl w:val="0"/>
              <w:numPr>
                <w:ilvl w:val="0"/>
                <w:numId w:val="5"/>
              </w:numPr>
              <w:spacing w:line="240" w:lineRule="auto"/>
              <w:ind w:left="0" w:leftChars="0" w:firstLine="76" w:firstLineChars="0"/>
              <w:jc w:val="center"/>
              <w:rPr>
                <w:rFonts w:hint="default" w:ascii="Times New Roman" w:hAnsi="Times New Roman" w:eastAsia="宋体" w:cs="Times New Roman"/>
                <w:kern w:val="2"/>
                <w:sz w:val="21"/>
                <w:szCs w:val="21"/>
                <w:lang w:val="en-US" w:eastAsia="zh-CN" w:bidi="ar-SA"/>
              </w:rPr>
            </w:pPr>
          </w:p>
        </w:tc>
        <w:tc>
          <w:tcPr>
            <w:tcW w:w="2995" w:type="dxa"/>
            <w:noWrap w:val="0"/>
            <w:vAlign w:val="center"/>
          </w:tcPr>
          <w:p>
            <w:pPr>
              <w:widowControl w:val="0"/>
              <w:spacing w:line="240" w:lineRule="auto"/>
              <w:jc w:val="both"/>
              <w:rPr>
                <w:rFonts w:hint="default" w:ascii="Times New Roman" w:hAnsi="Times New Roman" w:eastAsia="宋体" w:cs="Times New Roman"/>
                <w:spacing w:val="12"/>
                <w:sz w:val="21"/>
                <w:szCs w:val="21"/>
                <w:lang w:val="en-US" w:eastAsia="zh-CN"/>
              </w:rPr>
            </w:pPr>
            <w:r>
              <w:rPr>
                <w:rFonts w:hint="eastAsia" w:cs="Times New Roman"/>
                <w:spacing w:val="12"/>
                <w:sz w:val="21"/>
                <w:szCs w:val="21"/>
                <w:lang w:val="en-US" w:eastAsia="zh-CN"/>
              </w:rPr>
              <w:t>安全阀无检测报告、铅封</w:t>
            </w:r>
            <w:r>
              <w:rPr>
                <w:rFonts w:hint="default" w:ascii="Times New Roman" w:hAnsi="Times New Roman" w:eastAsia="宋体" w:cs="Times New Roman"/>
                <w:spacing w:val="12"/>
                <w:sz w:val="21"/>
                <w:szCs w:val="21"/>
              </w:rPr>
              <w:t>。</w:t>
            </w:r>
          </w:p>
        </w:tc>
        <w:tc>
          <w:tcPr>
            <w:tcW w:w="2825" w:type="dxa"/>
            <w:noWrap w:val="0"/>
            <w:vAlign w:val="center"/>
          </w:tcPr>
          <w:p>
            <w:pPr>
              <w:widowControl w:val="0"/>
              <w:spacing w:line="240" w:lineRule="auto"/>
              <w:jc w:val="both"/>
              <w:rPr>
                <w:rFonts w:hint="default" w:ascii="Times New Roman" w:hAnsi="Times New Roman" w:eastAsia="宋体" w:cs="Times New Roman"/>
                <w:spacing w:val="12"/>
                <w:sz w:val="21"/>
                <w:szCs w:val="21"/>
                <w:lang w:val="en-US" w:eastAsia="zh-CN"/>
              </w:rPr>
            </w:pPr>
            <w:r>
              <w:rPr>
                <w:rFonts w:hint="eastAsia" w:cs="Times New Roman"/>
                <w:spacing w:val="12"/>
                <w:sz w:val="21"/>
                <w:szCs w:val="21"/>
                <w:lang w:val="en-US" w:eastAsia="zh-CN"/>
              </w:rPr>
              <w:t>效验安全阀，并出具检测报告</w:t>
            </w:r>
            <w:r>
              <w:rPr>
                <w:rFonts w:hint="default" w:ascii="Times New Roman" w:hAnsi="Times New Roman" w:eastAsia="宋体" w:cs="Times New Roman"/>
                <w:spacing w:val="12"/>
                <w:sz w:val="21"/>
                <w:szCs w:val="21"/>
                <w:lang w:val="en-US" w:eastAsia="zh-CN"/>
              </w:rPr>
              <w:t>。</w:t>
            </w:r>
          </w:p>
        </w:tc>
        <w:tc>
          <w:tcPr>
            <w:tcW w:w="2812" w:type="dxa"/>
            <w:noWrap w:val="0"/>
            <w:vAlign w:val="center"/>
          </w:tcPr>
          <w:p>
            <w:pPr>
              <w:widowControl w:val="0"/>
              <w:spacing w:line="240" w:lineRule="auto"/>
              <w:jc w:val="both"/>
              <w:rPr>
                <w:rFonts w:hint="default" w:ascii="Times New Roman" w:hAnsi="Times New Roman" w:eastAsia="宋体" w:cs="Times New Roman"/>
                <w:spacing w:val="12"/>
                <w:kern w:val="2"/>
                <w:sz w:val="21"/>
                <w:szCs w:val="21"/>
                <w:lang w:val="en-US" w:eastAsia="zh-CN" w:bidi="ar-SA"/>
              </w:rPr>
            </w:pPr>
            <w:r>
              <w:rPr>
                <w:rFonts w:hint="eastAsia" w:cs="Times New Roman"/>
                <w:spacing w:val="12"/>
                <w:sz w:val="21"/>
                <w:szCs w:val="21"/>
                <w:lang w:val="en-US" w:eastAsia="zh-CN"/>
              </w:rPr>
              <w:t>已效验安全阀，并出具检测报告</w:t>
            </w:r>
            <w:r>
              <w:rPr>
                <w:rFonts w:hint="default" w:ascii="Times New Roman" w:hAnsi="Times New Roman" w:eastAsia="宋体" w:cs="Times New Roman"/>
                <w:spacing w:val="12"/>
                <w:sz w:val="21"/>
                <w:szCs w:val="21"/>
                <w:lang w:val="en-US" w:eastAsia="zh-CN"/>
              </w:rPr>
              <w:t>。</w:t>
            </w:r>
          </w:p>
        </w:tc>
      </w:tr>
      <w:bookmarkEnd w:id="8"/>
      <w:bookmarkEnd w:id="14"/>
      <w:bookmarkEnd w:id="15"/>
      <w:bookmarkEnd w:id="16"/>
      <w:bookmarkEnd w:id="17"/>
    </w:tbl>
    <w:p>
      <w:pPr>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outlineLvl w:val="1"/>
        <w:rPr>
          <w:rFonts w:hint="eastAsia" w:ascii="楷体" w:hAnsi="楷体" w:eastAsia="楷体" w:cs="楷体"/>
          <w:b w:val="0"/>
          <w:bCs/>
          <w:kern w:val="2"/>
          <w:sz w:val="32"/>
          <w:szCs w:val="32"/>
          <w:lang w:val="en-US" w:eastAsia="zh-CN" w:bidi="ar-SA"/>
        </w:rPr>
      </w:pPr>
      <w:bookmarkStart w:id="19" w:name="_Toc9937"/>
      <w:r>
        <w:rPr>
          <w:rFonts w:hint="eastAsia" w:ascii="楷体" w:hAnsi="楷体" w:eastAsia="楷体" w:cs="楷体"/>
          <w:b w:val="0"/>
          <w:bCs/>
          <w:kern w:val="2"/>
          <w:sz w:val="32"/>
          <w:szCs w:val="32"/>
          <w:lang w:val="en-US" w:eastAsia="zh-CN" w:bidi="ar-SA"/>
        </w:rPr>
        <w:t>周边环境、总平面布置及建构筑物情况</w:t>
      </w:r>
      <w:bookmarkEnd w:id="19"/>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周边环境及总平面布置</w:t>
      </w:r>
    </w:p>
    <w:p>
      <w:pPr>
        <w:ind w:firstLine="560" w:firstLineChars="200"/>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周边环境：</w:t>
      </w:r>
      <w:r>
        <w:rPr>
          <w:rFonts w:hint="eastAsia" w:cs="Times New Roman"/>
          <w:color w:val="auto"/>
          <w:sz w:val="28"/>
          <w:szCs w:val="28"/>
          <w:lang w:eastAsia="zh-CN"/>
        </w:rPr>
        <w:t>该企业</w:t>
      </w:r>
      <w:r>
        <w:rPr>
          <w:rFonts w:hint="default" w:ascii="Times New Roman" w:hAnsi="Times New Roman" w:eastAsia="宋体" w:cs="Times New Roman"/>
          <w:color w:val="auto"/>
          <w:sz w:val="28"/>
          <w:szCs w:val="28"/>
          <w:lang w:eastAsia="zh-CN"/>
        </w:rPr>
        <w:t>位于</w:t>
      </w:r>
      <w:r>
        <w:rPr>
          <w:rFonts w:hint="eastAsia" w:cs="Times New Roman"/>
          <w:color w:val="auto"/>
          <w:sz w:val="28"/>
          <w:szCs w:val="28"/>
          <w:lang w:eastAsia="zh-CN"/>
        </w:rPr>
        <w:t>黑山县新兴镇卧牛村</w:t>
      </w:r>
      <w:r>
        <w:rPr>
          <w:rFonts w:hint="eastAsia"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lang w:eastAsia="zh-CN"/>
        </w:rPr>
        <w:t>厂区</w:t>
      </w:r>
      <w:r>
        <w:rPr>
          <w:rFonts w:hint="eastAsia" w:cs="Times New Roman"/>
          <w:color w:val="auto"/>
          <w:sz w:val="28"/>
          <w:szCs w:val="28"/>
          <w:lang w:val="en-US" w:eastAsia="zh-CN"/>
        </w:rPr>
        <w:t>四周</w:t>
      </w:r>
      <w:r>
        <w:rPr>
          <w:rFonts w:hint="eastAsia" w:ascii="Times New Roman" w:hAnsi="Times New Roman" w:cs="Times New Roman"/>
          <w:sz w:val="28"/>
          <w:szCs w:val="28"/>
          <w:lang w:eastAsia="zh-CN"/>
        </w:rPr>
        <w:t>均为农田</w:t>
      </w:r>
      <w:r>
        <w:rPr>
          <w:rFonts w:hint="eastAsia" w:cs="Times New Roman"/>
          <w:sz w:val="28"/>
          <w:szCs w:val="28"/>
          <w:lang w:val="en-US" w:eastAsia="zh-CN"/>
        </w:rPr>
        <w:t>或空地</w:t>
      </w:r>
      <w:r>
        <w:rPr>
          <w:rFonts w:hint="eastAsia" w:ascii="Times New Roman" w:hAnsi="Times New Roman" w:cs="Times New Roman"/>
          <w:sz w:val="28"/>
          <w:szCs w:val="28"/>
          <w:lang w:eastAsia="zh-CN"/>
        </w:rPr>
        <w:t>，</w:t>
      </w:r>
      <w:r>
        <w:rPr>
          <w:rFonts w:hint="eastAsia" w:cs="Times New Roman"/>
          <w:sz w:val="28"/>
          <w:szCs w:val="28"/>
          <w:lang w:val="en-US" w:eastAsia="zh-CN"/>
        </w:rPr>
        <w:t>由北侧引入一条进厂</w:t>
      </w:r>
      <w:r>
        <w:rPr>
          <w:rFonts w:hint="eastAsia" w:ascii="Times New Roman" w:hAnsi="Times New Roman" w:cs="Times New Roman"/>
          <w:sz w:val="28"/>
          <w:szCs w:val="28"/>
          <w:lang w:eastAsia="zh-CN"/>
        </w:rPr>
        <w:t>道路。</w:t>
      </w:r>
      <w:r>
        <w:rPr>
          <w:rFonts w:hint="eastAsia" w:cs="Times New Roman"/>
          <w:sz w:val="28"/>
          <w:szCs w:val="28"/>
          <w:lang w:eastAsia="zh-CN"/>
        </w:rPr>
        <w:t>该企业周边</w:t>
      </w:r>
      <w:r>
        <w:rPr>
          <w:rFonts w:hint="eastAsia" w:cs="Times New Roman"/>
          <w:sz w:val="28"/>
          <w:szCs w:val="28"/>
          <w:lang w:val="en-US" w:eastAsia="zh-CN"/>
        </w:rPr>
        <w:t>100m范围内</w:t>
      </w:r>
      <w:r>
        <w:rPr>
          <w:rFonts w:hint="eastAsia" w:ascii="Times New Roman" w:hAnsi="Times New Roman" w:eastAsia="宋体" w:cs="Times New Roman"/>
          <w:sz w:val="28"/>
          <w:szCs w:val="28"/>
        </w:rPr>
        <w:t>无居民区</w:t>
      </w:r>
      <w:r>
        <w:rPr>
          <w:rFonts w:hint="eastAsia" w:ascii="Times New Roman" w:hAnsi="Times New Roman" w:eastAsia="宋体" w:cs="Times New Roman"/>
          <w:sz w:val="28"/>
          <w:szCs w:val="28"/>
          <w:lang w:eastAsia="zh-CN"/>
        </w:rPr>
        <w:t>、公共建筑、其它生产企业、教育单位以及文物保护单位</w:t>
      </w:r>
      <w:r>
        <w:rPr>
          <w:rFonts w:hint="eastAsia" w:ascii="Times New Roman" w:hAnsi="宋体" w:eastAsia="宋体" w:cs="Times New Roman"/>
          <w:sz w:val="28"/>
          <w:szCs w:val="28"/>
          <w:lang w:eastAsia="zh-CN"/>
        </w:rPr>
        <w:t>。</w:t>
      </w:r>
    </w:p>
    <w:p>
      <w:pPr>
        <w:ind w:firstLine="560" w:firstLineChars="200"/>
        <w:rPr>
          <w:rFonts w:hint="default" w:ascii="Times New Roman" w:hAnsi="宋体" w:eastAsia="宋体" w:cs="Times New Roman"/>
          <w:sz w:val="28"/>
          <w:szCs w:val="28"/>
          <w:lang w:val="en-US" w:eastAsia="zh-CN"/>
        </w:rPr>
      </w:pPr>
      <w:r>
        <w:rPr>
          <w:rFonts w:hint="eastAsia" w:ascii="Times New Roman" w:hAnsi="宋体" w:eastAsia="宋体" w:cs="Times New Roman"/>
          <w:sz w:val="28"/>
          <w:szCs w:val="28"/>
          <w:lang w:eastAsia="zh-CN"/>
        </w:rPr>
        <w:t>厂区</w:t>
      </w:r>
      <w:r>
        <w:rPr>
          <w:rFonts w:hint="eastAsia" w:ascii="Times New Roman" w:hAnsi="宋体" w:eastAsia="宋体" w:cs="Times New Roman"/>
          <w:sz w:val="28"/>
          <w:szCs w:val="28"/>
          <w:lang w:val="en-US" w:eastAsia="zh-CN"/>
        </w:rPr>
        <w:t>外较远处</w:t>
      </w:r>
      <w:r>
        <w:rPr>
          <w:rFonts w:hint="eastAsia" w:ascii="Times New Roman" w:hAnsi="宋体" w:eastAsia="宋体" w:cs="Times New Roman"/>
          <w:sz w:val="28"/>
          <w:szCs w:val="28"/>
          <w:lang w:eastAsia="zh-CN"/>
        </w:rPr>
        <w:t>南侧500m为卧牛屯，东北</w:t>
      </w:r>
      <w:r>
        <w:rPr>
          <w:rFonts w:hint="eastAsia" w:ascii="Times New Roman" w:hAnsi="宋体" w:eastAsia="宋体" w:cs="Times New Roman"/>
          <w:sz w:val="28"/>
          <w:szCs w:val="28"/>
          <w:lang w:val="en-US" w:eastAsia="zh-CN"/>
        </w:rPr>
        <w:t>侧</w:t>
      </w:r>
      <w:r>
        <w:rPr>
          <w:rFonts w:hint="eastAsia" w:ascii="Times New Roman" w:hAnsi="宋体" w:eastAsia="宋体" w:cs="Times New Roman"/>
          <w:sz w:val="28"/>
          <w:szCs w:val="28"/>
          <w:lang w:eastAsia="zh-CN"/>
        </w:rPr>
        <w:t>1500m处为陶家窝堡村，西南</w:t>
      </w:r>
      <w:r>
        <w:rPr>
          <w:rFonts w:hint="eastAsia" w:ascii="Times New Roman" w:hAnsi="宋体" w:eastAsia="宋体" w:cs="Times New Roman"/>
          <w:sz w:val="28"/>
          <w:szCs w:val="28"/>
          <w:lang w:val="en-US" w:eastAsia="zh-CN"/>
        </w:rPr>
        <w:t>侧</w:t>
      </w:r>
      <w:r>
        <w:rPr>
          <w:rFonts w:hint="eastAsia" w:ascii="Times New Roman" w:hAnsi="宋体" w:eastAsia="宋体" w:cs="Times New Roman"/>
          <w:sz w:val="28"/>
          <w:szCs w:val="28"/>
          <w:lang w:eastAsia="zh-CN"/>
        </w:rPr>
        <w:t>1000m处为五里丰子村，北侧100m为东西走向的县级公路。</w:t>
      </w:r>
    </w:p>
    <w:p>
      <w:pPr>
        <w:widowControl/>
        <w:adjustRightInd w:val="0"/>
        <w:snapToGrid w:val="0"/>
        <w:spacing w:line="360" w:lineRule="auto"/>
        <w:ind w:firstLine="560" w:firstLineChars="200"/>
        <w:rPr>
          <w:rFonts w:hint="eastAsia"/>
          <w:sz w:val="28"/>
        </w:rPr>
      </w:pPr>
      <w:r>
        <w:rPr>
          <w:rFonts w:hint="eastAsia" w:ascii="Times New Roman" w:hAnsi="宋体" w:eastAsia="宋体" w:cs="Times New Roman"/>
          <w:sz w:val="28"/>
          <w:szCs w:val="28"/>
          <w:lang w:eastAsia="zh-CN"/>
        </w:rPr>
        <w:t>总平面布置：</w:t>
      </w:r>
      <w:r>
        <w:rPr>
          <w:sz w:val="28"/>
        </w:rPr>
        <w:t>该企业</w:t>
      </w:r>
      <w:r>
        <w:rPr>
          <w:rFonts w:hint="eastAsia"/>
          <w:sz w:val="28"/>
        </w:rPr>
        <w:t>厂区</w:t>
      </w:r>
      <w:r>
        <w:rPr>
          <w:rFonts w:hint="eastAsia"/>
          <w:sz w:val="28"/>
          <w:lang w:val="en-US" w:eastAsia="zh-CN"/>
        </w:rPr>
        <w:t>总</w:t>
      </w:r>
      <w:r>
        <w:rPr>
          <w:rFonts w:hint="eastAsia"/>
          <w:sz w:val="28"/>
        </w:rPr>
        <w:t>占地面积</w:t>
      </w:r>
      <w:r>
        <w:rPr>
          <w:rFonts w:hint="eastAsia"/>
          <w:sz w:val="28"/>
          <w:lang w:val="en-US" w:eastAsia="zh-CN"/>
        </w:rPr>
        <w:t>约为</w:t>
      </w:r>
      <w:r>
        <w:rPr>
          <w:rFonts w:hint="eastAsia"/>
          <w:sz w:val="28"/>
        </w:rPr>
        <w:t>35000m</w:t>
      </w:r>
      <w:r>
        <w:rPr>
          <w:rFonts w:hint="eastAsia"/>
          <w:sz w:val="28"/>
          <w:vertAlign w:val="superscript"/>
        </w:rPr>
        <w:t>2</w:t>
      </w:r>
      <w:r>
        <w:rPr>
          <w:rFonts w:hint="eastAsia"/>
          <w:sz w:val="28"/>
        </w:rPr>
        <w:t>，呈南北布局，厂区周围设栅栏。厂内由北向南依次为两座蓄水池、办公室、玉米芯堆场、生产车间和锅炉房、水处理车间、污水池、罐区和消防水池</w:t>
      </w:r>
      <w:r>
        <w:rPr>
          <w:sz w:val="28"/>
        </w:rPr>
        <w:t>。</w:t>
      </w:r>
      <w:r>
        <w:rPr>
          <w:rFonts w:hint="eastAsia"/>
          <w:sz w:val="28"/>
        </w:rPr>
        <w:t>其中</w:t>
      </w:r>
      <w:r>
        <w:rPr>
          <w:rFonts w:hint="eastAsia"/>
          <w:sz w:val="28"/>
          <w:lang w:val="en-US" w:eastAsia="zh-CN"/>
        </w:rPr>
        <w:t>东侧</w:t>
      </w:r>
      <w:r>
        <w:rPr>
          <w:rFonts w:hint="eastAsia"/>
          <w:sz w:val="28"/>
        </w:rPr>
        <w:t>蓄水池</w:t>
      </w:r>
      <w:r>
        <w:rPr>
          <w:rFonts w:hint="eastAsia"/>
          <w:sz w:val="28"/>
          <w:lang w:val="en-US" w:eastAsia="zh-CN"/>
        </w:rPr>
        <w:t>兼消防水池</w:t>
      </w:r>
      <w:r>
        <w:rPr>
          <w:rFonts w:hint="eastAsia"/>
          <w:sz w:val="28"/>
        </w:rPr>
        <w:t>容积约</w:t>
      </w:r>
      <w:r>
        <w:rPr>
          <w:rFonts w:hint="eastAsia"/>
          <w:sz w:val="28"/>
          <w:lang w:val="en-US" w:eastAsia="zh-CN"/>
        </w:rPr>
        <w:t>3</w:t>
      </w:r>
      <w:r>
        <w:rPr>
          <w:rFonts w:hint="eastAsia"/>
          <w:sz w:val="28"/>
        </w:rPr>
        <w:t>000m</w:t>
      </w:r>
      <w:r>
        <w:rPr>
          <w:rFonts w:hint="eastAsia"/>
          <w:sz w:val="28"/>
          <w:vertAlign w:val="superscript"/>
        </w:rPr>
        <w:t>3</w:t>
      </w:r>
      <w:r>
        <w:rPr>
          <w:rFonts w:hint="eastAsia"/>
          <w:sz w:val="28"/>
        </w:rPr>
        <w:t>；办公室内设有食堂和员工休息室；生产车间包括主车间和粉碎车间，东侧设有两座10m</w:t>
      </w:r>
      <w:r>
        <w:rPr>
          <w:rFonts w:hint="eastAsia"/>
          <w:sz w:val="28"/>
          <w:vertAlign w:val="superscript"/>
        </w:rPr>
        <w:t>3</w:t>
      </w:r>
      <w:r>
        <w:rPr>
          <w:rFonts w:hint="eastAsia"/>
          <w:sz w:val="28"/>
        </w:rPr>
        <w:t>的硫酸储罐，生产车间西侧为锅炉房，水处理车间位于生产车间南侧，包括配电间。污水处理间和工具间；成品罐区位于厂区最南端。</w:t>
      </w:r>
    </w:p>
    <w:p>
      <w:pPr>
        <w:widowControl/>
        <w:adjustRightInd w:val="0"/>
        <w:snapToGrid w:val="0"/>
        <w:spacing w:line="360" w:lineRule="auto"/>
        <w:ind w:firstLine="560" w:firstLineChars="200"/>
        <w:rPr>
          <w:rFonts w:hint="eastAsia" w:ascii="Times New Roman" w:hAnsi="宋体" w:eastAsia="宋体" w:cs="Times New Roman"/>
          <w:sz w:val="28"/>
          <w:szCs w:val="28"/>
          <w:lang w:eastAsia="zh-CN"/>
        </w:rPr>
      </w:pPr>
      <w:r>
        <w:rPr>
          <w:rFonts w:hint="eastAsia"/>
          <w:sz w:val="28"/>
        </w:rPr>
        <w:t>本项目粉碎车间为敞开式厂房，车间空气流通流畅，粉碎时产生的粉尘会因为气流影响，不会造成积聚，因此，不会因局部粉尘浓度过高而造成粉尘爆炸。</w:t>
      </w:r>
    </w:p>
    <w:p>
      <w:pPr>
        <w:ind w:firstLine="560" w:firstLineChars="200"/>
        <w:rPr>
          <w:rFonts w:hint="eastAsia" w:ascii="Times New Roman" w:hAnsi="宋体" w:eastAsia="宋体" w:cs="Times New Roman"/>
          <w:sz w:val="28"/>
          <w:szCs w:val="28"/>
        </w:rPr>
      </w:pPr>
      <w:r>
        <w:rPr>
          <w:rFonts w:hint="eastAsia" w:ascii="Times New Roman" w:hAnsi="宋体" w:eastAsia="宋体" w:cs="Times New Roman"/>
          <w:sz w:val="28"/>
          <w:szCs w:val="28"/>
          <w:lang w:eastAsia="zh-CN"/>
        </w:rPr>
        <w:t>厂区</w:t>
      </w:r>
      <w:r>
        <w:rPr>
          <w:rFonts w:hint="default" w:ascii="Times New Roman" w:hAnsi="Times New Roman" w:eastAsia="宋体" w:cs="Times New Roman"/>
          <w:color w:val="000000"/>
          <w:spacing w:val="0"/>
          <w:kern w:val="2"/>
          <w:sz w:val="28"/>
          <w:szCs w:val="28"/>
          <w:lang w:val="en-US" w:eastAsia="zh-CN" w:bidi="ar-SA"/>
        </w:rPr>
        <w:t>卫星定位见图</w:t>
      </w:r>
      <w:r>
        <w:rPr>
          <w:rFonts w:hint="eastAsia" w:ascii="Times New Roman" w:hAnsi="Times New Roman" w:eastAsia="宋体" w:cs="Times New Roman"/>
          <w:color w:val="000000"/>
          <w:spacing w:val="0"/>
          <w:kern w:val="2"/>
          <w:sz w:val="28"/>
          <w:szCs w:val="28"/>
          <w:lang w:val="en-US" w:eastAsia="zh-CN" w:bidi="ar-SA"/>
        </w:rPr>
        <w:t>1</w:t>
      </w:r>
      <w:r>
        <w:rPr>
          <w:rFonts w:hint="default" w:ascii="Times New Roman" w:hAnsi="Times New Roman" w:eastAsia="宋体" w:cs="Times New Roman"/>
          <w:color w:val="000000"/>
          <w:spacing w:val="0"/>
          <w:kern w:val="2"/>
          <w:sz w:val="28"/>
          <w:szCs w:val="28"/>
          <w:lang w:val="en-US" w:eastAsia="zh-CN" w:bidi="ar-SA"/>
        </w:rPr>
        <w:t>-1。</w:t>
      </w:r>
      <w:r>
        <w:rPr>
          <w:rFonts w:hint="eastAsia" w:ascii="Times New Roman" w:hAnsi="宋体" w:eastAsia="宋体" w:cs="Times New Roman"/>
          <w:sz w:val="28"/>
          <w:szCs w:val="28"/>
          <w:lang w:eastAsia="zh-CN"/>
        </w:rPr>
        <w:t>厂区具体总平面布置情况见图</w:t>
      </w:r>
      <w:r>
        <w:rPr>
          <w:rFonts w:hint="eastAsia" w:ascii="Times New Roman" w:hAnsi="宋体" w:eastAsia="宋体" w:cs="Times New Roman"/>
          <w:sz w:val="28"/>
          <w:szCs w:val="28"/>
          <w:lang w:val="en-US" w:eastAsia="zh-CN"/>
        </w:rPr>
        <w:t>1</w:t>
      </w:r>
      <w:r>
        <w:rPr>
          <w:rFonts w:hint="eastAsia" w:ascii="Times New Roman" w:hAnsi="宋体" w:eastAsia="宋体" w:cs="Times New Roman"/>
          <w:sz w:val="28"/>
          <w:szCs w:val="28"/>
          <w:lang w:eastAsia="zh-CN"/>
        </w:rPr>
        <w:t>-</w:t>
      </w:r>
      <w:r>
        <w:rPr>
          <w:rFonts w:hint="eastAsia" w:ascii="Times New Roman" w:hAnsi="宋体" w:eastAsia="宋体" w:cs="Times New Roman"/>
          <w:sz w:val="28"/>
          <w:szCs w:val="28"/>
          <w:lang w:val="en-US" w:eastAsia="zh-CN"/>
        </w:rPr>
        <w:t>2</w:t>
      </w:r>
      <w:r>
        <w:rPr>
          <w:rFonts w:hint="eastAsia" w:ascii="Times New Roman" w:hAnsi="宋体" w:eastAsia="宋体" w:cs="Times New Roman"/>
          <w:sz w:val="28"/>
          <w:szCs w:val="28"/>
        </w:rPr>
        <w:t>。</w:t>
      </w:r>
    </w:p>
    <w:p>
      <w:pPr>
        <w:bidi w:val="0"/>
        <w:jc w:val="center"/>
        <w:rPr>
          <w:rFonts w:hint="eastAsia" w:ascii="Times New Roman" w:hAnsi="Times New Roman" w:cs="Times New Roman"/>
          <w:lang w:val="en-US" w:eastAsia="zh-CN"/>
        </w:rPr>
      </w:pPr>
      <w:r>
        <w:rPr>
          <w:rFonts w:hint="eastAsia" w:ascii="Times New Roman" w:hAnsi="Times New Roman" w:cs="Times New Roman"/>
          <w:lang w:val="en-US" w:eastAsia="zh-CN"/>
        </w:rPr>
        <w:object>
          <v:shape id="_x0000_i1025" o:spt="75" type="#_x0000_t75" style="height:341pt;width:399.1pt;" o:ole="t" filled="f" o:preferrelative="t" stroked="f" coordsize="21600,21600">
            <v:path/>
            <v:fill on="f" focussize="0,0"/>
            <v:stroke on="f"/>
            <v:imagedata r:id="rId12" o:title=""/>
            <o:lock v:ext="edit" aspectratio="t"/>
            <w10:wrap type="none"/>
            <w10:anchorlock/>
          </v:shape>
          <o:OLEObject Type="Embed" ProgID="Visio.Drawing.11" ShapeID="_x0000_i1025" DrawAspect="Content" ObjectID="_1468075725" r:id="rId11">
            <o:LockedField>false</o:LockedField>
          </o:OLEObject>
        </w:objec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图1-1 企业卫星定位图</w:t>
      </w:r>
    </w:p>
    <w:p>
      <w:pPr>
        <w:jc w:val="center"/>
      </w:pPr>
    </w:p>
    <w:p>
      <w:pPr>
        <w:jc w:val="center"/>
        <w:rPr>
          <w:rFonts w:hint="eastAsia" w:ascii="Times New Roman" w:hAnsi="宋体" w:eastAsia="宋体" w:cs="Times New Roman"/>
          <w:sz w:val="28"/>
          <w:szCs w:val="28"/>
        </w:rPr>
      </w:pPr>
      <w:r>
        <w:object>
          <v:shape id="_x0000_i1026" o:spt="75" type="#_x0000_t75" style="height:633.35pt;width:435.35pt;" o:ole="t" filled="f" o:preferrelative="t" stroked="f" coordsize="21600,21600">
            <v:path/>
            <v:fill on="f" focussize="0,0"/>
            <v:stroke on="f"/>
            <v:imagedata r:id="rId14" o:title=""/>
            <o:lock v:ext="edit" aspectratio="t"/>
            <w10:wrap type="none"/>
            <w10:anchorlock/>
          </v:shape>
          <o:OLEObject Type="Embed" ProgID="Visio.Drawing.11" ShapeID="_x0000_i1026" DrawAspect="Content" ObjectID="_1468075726" r:id="rId13">
            <o:LockedField>false</o:LockedField>
          </o:OLEObject>
        </w:objec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auto"/>
          <w:kern w:val="28"/>
          <w:sz w:val="21"/>
          <w:szCs w:val="21"/>
          <w:lang w:val="en-US" w:eastAsia="zh-CN" w:bidi="ar-SA"/>
        </w:rPr>
      </w:pPr>
      <w:r>
        <w:rPr>
          <w:rFonts w:hint="eastAsia" w:ascii="Times New Roman" w:hAnsi="Times New Roman" w:eastAsia="黑体" w:cs="Times New Roman"/>
          <w:b w:val="0"/>
          <w:bCs w:val="0"/>
          <w:color w:val="auto"/>
          <w:kern w:val="28"/>
          <w:sz w:val="21"/>
          <w:szCs w:val="21"/>
          <w:lang w:val="en-US" w:eastAsia="zh-CN" w:bidi="ar-SA"/>
        </w:rPr>
        <w:t>图1-2 厂区周边环境及总平面布置示意图</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主要建构筑物</w:t>
      </w:r>
    </w:p>
    <w:p>
      <w:pPr>
        <w:ind w:firstLine="560" w:firstLineChars="200"/>
        <w:rPr>
          <w:rFonts w:hint="default" w:ascii="Times New Roman" w:hAnsi="宋体" w:eastAsia="宋体" w:cs="Times New Roman"/>
          <w:sz w:val="28"/>
          <w:szCs w:val="28"/>
          <w:lang w:val="en-US" w:eastAsia="zh-CN"/>
        </w:rPr>
      </w:pPr>
      <w:r>
        <w:rPr>
          <w:rFonts w:hint="eastAsia" w:hAnsi="宋体" w:cs="Times New Roman"/>
          <w:sz w:val="28"/>
          <w:szCs w:val="28"/>
          <w:lang w:eastAsia="zh-CN"/>
        </w:rPr>
        <w:t>该企业</w:t>
      </w:r>
      <w:r>
        <w:rPr>
          <w:rFonts w:hint="eastAsia" w:ascii="Times New Roman" w:hAnsi="宋体" w:eastAsia="宋体" w:cs="Times New Roman"/>
          <w:sz w:val="28"/>
          <w:szCs w:val="28"/>
          <w:lang w:eastAsia="zh-CN"/>
        </w:rPr>
        <w:t>主要建筑物情况详见表</w:t>
      </w:r>
      <w:r>
        <w:rPr>
          <w:rFonts w:hint="eastAsia" w:ascii="Times New Roman" w:hAnsi="宋体" w:eastAsia="宋体" w:cs="Times New Roman"/>
          <w:sz w:val="28"/>
          <w:szCs w:val="28"/>
          <w:lang w:val="en-US" w:eastAsia="zh-CN"/>
        </w:rPr>
        <w:t>1</w:t>
      </w:r>
      <w:r>
        <w:rPr>
          <w:rFonts w:hint="eastAsia" w:hAnsi="宋体" w:cs="Times New Roman"/>
          <w:sz w:val="28"/>
          <w:szCs w:val="28"/>
          <w:lang w:val="en-US" w:eastAsia="zh-CN"/>
        </w:rPr>
        <w:t>-3</w:t>
      </w:r>
      <w:r>
        <w:rPr>
          <w:rFonts w:hint="eastAsia" w:ascii="Times New Roman" w:hAnsi="宋体" w:eastAsia="宋体"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-3</w:t>
      </w:r>
      <w:r>
        <w:rPr>
          <w:rFonts w:hint="eastAsia" w:ascii="Times New Roman" w:hAnsi="Times New Roman" w:eastAsia="黑体" w:cs="Times New Roman"/>
          <w:b w:val="0"/>
          <w:bCs w:val="0"/>
          <w:color w:val="000000"/>
          <w:kern w:val="28"/>
          <w:sz w:val="21"/>
          <w:szCs w:val="21"/>
          <w:lang w:val="en-US" w:eastAsia="zh-CN" w:bidi="ar-SA"/>
        </w:rPr>
        <w:t>主要建（构）筑物一览表</w:t>
      </w:r>
    </w:p>
    <w:tbl>
      <w:tblPr>
        <w:tblStyle w:val="37"/>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78"/>
        <w:gridCol w:w="662"/>
        <w:gridCol w:w="952"/>
        <w:gridCol w:w="930"/>
        <w:gridCol w:w="658"/>
        <w:gridCol w:w="946"/>
        <w:gridCol w:w="746"/>
        <w:gridCol w:w="88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636"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478"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建</w:t>
            </w:r>
            <w:r>
              <w:rPr>
                <w:rFonts w:hint="default" w:ascii="Times New Roman" w:hAnsi="Times New Roman" w:eastAsia="宋体" w:cs="Times New Roman"/>
                <w:b/>
                <w:bCs/>
                <w:color w:val="auto"/>
                <w:sz w:val="21"/>
                <w:szCs w:val="21"/>
                <w:lang w:eastAsia="zh-CN"/>
              </w:rPr>
              <w:t>构</w:t>
            </w:r>
            <w:r>
              <w:rPr>
                <w:rFonts w:hint="default" w:ascii="Times New Roman" w:hAnsi="Times New Roman" w:eastAsia="宋体" w:cs="Times New Roman"/>
                <w:b/>
                <w:bCs/>
                <w:color w:val="auto"/>
                <w:sz w:val="21"/>
                <w:szCs w:val="21"/>
              </w:rPr>
              <w:t>筑物</w:t>
            </w:r>
          </w:p>
        </w:tc>
        <w:tc>
          <w:tcPr>
            <w:tcW w:w="662" w:type="dxa"/>
            <w:noWrap w:val="0"/>
            <w:vAlign w:val="center"/>
          </w:tcPr>
          <w:p>
            <w:pPr>
              <w:spacing w:line="240" w:lineRule="auto"/>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层数</w:t>
            </w:r>
          </w:p>
        </w:tc>
        <w:tc>
          <w:tcPr>
            <w:tcW w:w="952" w:type="dxa"/>
            <w:noWrap w:val="0"/>
            <w:vAlign w:val="center"/>
          </w:tcPr>
          <w:p>
            <w:pPr>
              <w:spacing w:line="240" w:lineRule="auto"/>
              <w:jc w:val="center"/>
              <w:rPr>
                <w:rFonts w:hint="eastAsia" w:ascii="Times New Roman" w:hAnsi="Times New Roman" w:eastAsia="宋体" w:cs="Times New Roman"/>
                <w:b/>
                <w:bCs/>
                <w:color w:val="auto"/>
                <w:sz w:val="21"/>
                <w:szCs w:val="21"/>
                <w:lang w:eastAsia="zh-CN"/>
              </w:rPr>
            </w:pPr>
            <w:r>
              <w:rPr>
                <w:rFonts w:hint="eastAsia" w:ascii="Times New Roman" w:hAnsi="Times New Roman" w:eastAsia="宋体" w:cs="Times New Roman"/>
                <w:b/>
                <w:bCs/>
                <w:color w:val="auto"/>
                <w:sz w:val="21"/>
                <w:szCs w:val="21"/>
                <w:lang w:eastAsia="zh-CN"/>
              </w:rPr>
              <w:t>占地</w:t>
            </w:r>
          </w:p>
          <w:p>
            <w:pPr>
              <w:spacing w:line="240" w:lineRule="auto"/>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面积</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vertAlign w:val="baseline"/>
                <w:lang w:eastAsia="zh-CN"/>
              </w:rPr>
              <w:t>）</w:t>
            </w:r>
          </w:p>
        </w:tc>
        <w:tc>
          <w:tcPr>
            <w:tcW w:w="930"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建筑</w:t>
            </w:r>
          </w:p>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vertAlign w:val="baseline"/>
                <w:lang w:eastAsia="zh-CN"/>
              </w:rPr>
              <w:t>）</w:t>
            </w:r>
          </w:p>
        </w:tc>
        <w:tc>
          <w:tcPr>
            <w:tcW w:w="658" w:type="dxa"/>
            <w:noWrap w:val="0"/>
            <w:vAlign w:val="center"/>
          </w:tcPr>
          <w:p>
            <w:pPr>
              <w:spacing w:line="240" w:lineRule="auto"/>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eastAsia="zh-CN"/>
              </w:rPr>
              <w:t>高度</w:t>
            </w:r>
            <w:r>
              <w:rPr>
                <w:rFonts w:hint="eastAsia" w:ascii="Times New Roman" w:hAnsi="Times New Roman" w:eastAsia="宋体" w:cs="Times New Roman"/>
                <w:b/>
                <w:bCs/>
                <w:color w:val="auto"/>
                <w:sz w:val="21"/>
                <w:szCs w:val="21"/>
                <w:lang w:val="en-US" w:eastAsia="zh-CN"/>
              </w:rPr>
              <w:t>(m)</w:t>
            </w:r>
          </w:p>
        </w:tc>
        <w:tc>
          <w:tcPr>
            <w:tcW w:w="946"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结构</w:t>
            </w:r>
          </w:p>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类型</w:t>
            </w:r>
          </w:p>
        </w:tc>
        <w:tc>
          <w:tcPr>
            <w:tcW w:w="746"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耐火</w:t>
            </w:r>
          </w:p>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等级</w:t>
            </w:r>
          </w:p>
        </w:tc>
        <w:tc>
          <w:tcPr>
            <w:tcW w:w="880" w:type="dxa"/>
            <w:noWrap w:val="0"/>
            <w:vAlign w:val="center"/>
          </w:tcPr>
          <w:p>
            <w:pPr>
              <w:spacing w:line="240" w:lineRule="auto"/>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火灾危险性</w:t>
            </w:r>
          </w:p>
        </w:tc>
        <w:tc>
          <w:tcPr>
            <w:tcW w:w="1260"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生产车间</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w:t>
            </w:r>
            <w:r>
              <w:rPr>
                <w:rFonts w:hint="eastAsia" w:ascii="Times New Roman" w:hAnsi="Times New Roman" w:eastAsia="宋体" w:cs="Times New Roman"/>
                <w:color w:val="auto"/>
                <w:kern w:val="2"/>
                <w:sz w:val="21"/>
                <w:szCs w:val="21"/>
                <w:lang w:val="en-US" w:eastAsia="zh-CN" w:bidi="ar-SA"/>
              </w:rPr>
              <w:t>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307.2</w:t>
            </w:r>
          </w:p>
        </w:tc>
        <w:tc>
          <w:tcPr>
            <w:tcW w:w="93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970.52</w:t>
            </w:r>
          </w:p>
        </w:tc>
        <w:tc>
          <w:tcPr>
            <w:tcW w:w="658"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9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val="en-US" w:eastAsia="zh-CN"/>
              </w:rPr>
              <w:t>二级</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丙类</w:t>
            </w:r>
          </w:p>
        </w:tc>
        <w:tc>
          <w:tcPr>
            <w:tcW w:w="126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锅炉房</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374.81</w:t>
            </w:r>
          </w:p>
        </w:tc>
        <w:tc>
          <w:tcPr>
            <w:tcW w:w="93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374.81</w:t>
            </w:r>
          </w:p>
        </w:tc>
        <w:tc>
          <w:tcPr>
            <w:tcW w:w="658"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p>
        </w:tc>
        <w:tc>
          <w:tcPr>
            <w:tcW w:w="9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highlight w:val="none"/>
                <w:lang w:val="en-US" w:eastAsia="zh-CN"/>
              </w:rPr>
              <w:t>二级</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丁类</w:t>
            </w:r>
          </w:p>
        </w:tc>
        <w:tc>
          <w:tcPr>
            <w:tcW w:w="126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粉碎车间</w:t>
            </w:r>
          </w:p>
        </w:tc>
        <w:tc>
          <w:tcPr>
            <w:tcW w:w="662"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234.36</w:t>
            </w:r>
          </w:p>
        </w:tc>
        <w:tc>
          <w:tcPr>
            <w:tcW w:w="930"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234.36</w:t>
            </w:r>
          </w:p>
        </w:tc>
        <w:tc>
          <w:tcPr>
            <w:tcW w:w="658"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6</w:t>
            </w:r>
          </w:p>
        </w:tc>
        <w:tc>
          <w:tcPr>
            <w:tcW w:w="946"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val="en-US" w:eastAsia="zh-CN"/>
              </w:rPr>
              <w:t>二级</w:t>
            </w:r>
          </w:p>
        </w:tc>
        <w:tc>
          <w:tcPr>
            <w:tcW w:w="880"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丙类</w:t>
            </w:r>
          </w:p>
        </w:tc>
        <w:tc>
          <w:tcPr>
            <w:tcW w:w="126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水处理车间</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130.00</w:t>
            </w:r>
          </w:p>
        </w:tc>
        <w:tc>
          <w:tcPr>
            <w:tcW w:w="93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130.00</w:t>
            </w:r>
          </w:p>
        </w:tc>
        <w:tc>
          <w:tcPr>
            <w:tcW w:w="658" w:type="dxa"/>
            <w:noWrap w:val="0"/>
            <w:vAlign w:val="center"/>
          </w:tcPr>
          <w:p>
            <w:pPr>
              <w:widowControl w:val="0"/>
              <w:spacing w:after="0" w:line="240" w:lineRule="auto"/>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9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widowControl w:val="0"/>
              <w:spacing w:after="0" w:line="240" w:lineRule="auto"/>
              <w:ind w:left="0" w:lef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二级</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戊类</w:t>
            </w:r>
          </w:p>
        </w:tc>
        <w:tc>
          <w:tcPr>
            <w:tcW w:w="126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维修车间</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130.00</w:t>
            </w:r>
          </w:p>
        </w:tc>
        <w:tc>
          <w:tcPr>
            <w:tcW w:w="93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130.00</w:t>
            </w:r>
          </w:p>
        </w:tc>
        <w:tc>
          <w:tcPr>
            <w:tcW w:w="658" w:type="dxa"/>
            <w:noWrap w:val="0"/>
            <w:vAlign w:val="center"/>
          </w:tcPr>
          <w:p>
            <w:pPr>
              <w:widowControl w:val="0"/>
              <w:spacing w:after="0" w:line="240" w:lineRule="auto"/>
              <w:ind w:left="0" w:left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9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widowControl w:val="0"/>
              <w:spacing w:after="0" w:line="240" w:lineRule="auto"/>
              <w:ind w:left="0" w:lef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二级</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丁类</w:t>
            </w:r>
          </w:p>
        </w:tc>
        <w:tc>
          <w:tcPr>
            <w:tcW w:w="126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危废间</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20.00</w:t>
            </w:r>
          </w:p>
        </w:tc>
        <w:tc>
          <w:tcPr>
            <w:tcW w:w="93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20.00</w:t>
            </w:r>
          </w:p>
        </w:tc>
        <w:tc>
          <w:tcPr>
            <w:tcW w:w="658"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w:t>
            </w:r>
          </w:p>
        </w:tc>
        <w:tc>
          <w:tcPr>
            <w:tcW w:w="9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二级</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丙类</w:t>
            </w:r>
          </w:p>
        </w:tc>
        <w:tc>
          <w:tcPr>
            <w:tcW w:w="126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办公室</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w:t>
            </w:r>
            <w:r>
              <w:rPr>
                <w:rFonts w:hint="eastAsia" w:ascii="Times New Roman" w:hAnsi="Times New Roman" w:eastAsia="宋体" w:cs="Times New Roman"/>
                <w:color w:val="auto"/>
                <w:kern w:val="2"/>
                <w:sz w:val="21"/>
                <w:szCs w:val="21"/>
                <w:lang w:val="en-US" w:eastAsia="zh-CN" w:bidi="ar-SA"/>
              </w:rPr>
              <w:t>层</w:t>
            </w:r>
          </w:p>
        </w:tc>
        <w:tc>
          <w:tcPr>
            <w:tcW w:w="95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1003.75</w:t>
            </w:r>
          </w:p>
        </w:tc>
        <w:tc>
          <w:tcPr>
            <w:tcW w:w="93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1003.75</w:t>
            </w:r>
          </w:p>
        </w:tc>
        <w:tc>
          <w:tcPr>
            <w:tcW w:w="658"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9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砖混</w:t>
            </w:r>
          </w:p>
        </w:tc>
        <w:tc>
          <w:tcPr>
            <w:tcW w:w="746" w:type="dxa"/>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lang w:val="en-US" w:eastAsia="zh-CN" w:bidi="ar-SA"/>
              </w:rPr>
              <w:t>二级</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126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原料堆场</w:t>
            </w:r>
          </w:p>
        </w:tc>
        <w:tc>
          <w:tcPr>
            <w:tcW w:w="662"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952" w:type="dxa"/>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auto"/>
                <w:kern w:val="2"/>
                <w:sz w:val="18"/>
                <w:szCs w:val="18"/>
                <w:lang w:val="en-US" w:eastAsia="zh-CN" w:bidi="ar-SA"/>
              </w:rPr>
              <w:t>18368.94</w:t>
            </w:r>
          </w:p>
        </w:tc>
        <w:tc>
          <w:tcPr>
            <w:tcW w:w="930" w:type="dxa"/>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658"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w:t>
            </w:r>
          </w:p>
        </w:tc>
        <w:tc>
          <w:tcPr>
            <w:tcW w:w="946"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kern w:val="2"/>
                <w:sz w:val="21"/>
                <w:szCs w:val="21"/>
                <w:lang w:val="en-US" w:eastAsia="zh-CN" w:bidi="ar-SA"/>
              </w:rPr>
              <w:t>—</w:t>
            </w:r>
          </w:p>
        </w:tc>
        <w:tc>
          <w:tcPr>
            <w:tcW w:w="7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880"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丙类</w:t>
            </w:r>
          </w:p>
        </w:tc>
        <w:tc>
          <w:tcPr>
            <w:tcW w:w="126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18"/>
                <w:szCs w:val="18"/>
                <w:lang w:val="en-US" w:eastAsia="zh-CN" w:bidi="ar-SA"/>
              </w:rPr>
              <w:t>储量＜</w:t>
            </w:r>
            <w:r>
              <w:rPr>
                <w:rFonts w:hint="eastAsia" w:cs="Times New Roman"/>
                <w:color w:val="auto"/>
                <w:kern w:val="2"/>
                <w:sz w:val="18"/>
                <w:szCs w:val="18"/>
                <w:lang w:val="en-US" w:eastAsia="zh-CN" w:bidi="ar-SA"/>
              </w:rPr>
              <w:t>3</w:t>
            </w:r>
            <w:r>
              <w:rPr>
                <w:rFonts w:hint="eastAsia" w:ascii="Times New Roman" w:hAnsi="Times New Roman" w:eastAsia="宋体" w:cs="Times New Roman"/>
                <w:color w:val="auto"/>
                <w:kern w:val="2"/>
                <w:sz w:val="18"/>
                <w:szCs w:val="18"/>
                <w:lang w:val="en-US" w:eastAsia="zh-CN" w:bidi="ar-SA"/>
              </w:rPr>
              <w:t>000t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636" w:type="dxa"/>
            <w:noWrap w:val="0"/>
            <w:vAlign w:val="center"/>
          </w:tcPr>
          <w:p>
            <w:pPr>
              <w:numPr>
                <w:ilvl w:val="0"/>
                <w:numId w:val="6"/>
              </w:numPr>
              <w:spacing w:line="240" w:lineRule="auto"/>
              <w:ind w:left="425" w:leftChars="0" w:hanging="348" w:firstLineChars="0"/>
              <w:jc w:val="center"/>
              <w:rPr>
                <w:rFonts w:hint="default" w:ascii="Times New Roman" w:hAnsi="Times New Roman" w:eastAsia="宋体" w:cs="Times New Roman"/>
                <w:color w:val="auto"/>
                <w:lang w:val="en-US" w:eastAsia="zh-CN"/>
              </w:rPr>
            </w:pPr>
          </w:p>
        </w:tc>
        <w:tc>
          <w:tcPr>
            <w:tcW w:w="1478"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糠醛储罐区</w:t>
            </w:r>
          </w:p>
        </w:tc>
        <w:tc>
          <w:tcPr>
            <w:tcW w:w="662"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952" w:type="dxa"/>
            <w:noWrap w:val="0"/>
            <w:vAlign w:val="center"/>
          </w:tcPr>
          <w:p>
            <w:pPr>
              <w:spacing w:line="240" w:lineRule="auto"/>
              <w:jc w:val="center"/>
              <w:rPr>
                <w:rFonts w:hint="eastAsia" w:cs="Times New Roman"/>
                <w:color w:val="auto"/>
                <w:kern w:val="2"/>
                <w:sz w:val="18"/>
                <w:szCs w:val="18"/>
                <w:lang w:val="en-US" w:eastAsia="zh-CN" w:bidi="ar-SA"/>
              </w:rPr>
            </w:pPr>
            <w:r>
              <w:rPr>
                <w:rFonts w:hint="eastAsia" w:cs="Times New Roman"/>
                <w:color w:val="auto"/>
                <w:kern w:val="2"/>
                <w:sz w:val="18"/>
                <w:szCs w:val="18"/>
                <w:lang w:val="en-US" w:eastAsia="zh-CN" w:bidi="ar-SA"/>
              </w:rPr>
              <w:t>100.00</w:t>
            </w:r>
          </w:p>
        </w:tc>
        <w:tc>
          <w:tcPr>
            <w:tcW w:w="930" w:type="dxa"/>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658"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w:t>
            </w:r>
          </w:p>
        </w:tc>
        <w:tc>
          <w:tcPr>
            <w:tcW w:w="946" w:type="dxa"/>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746"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w:t>
            </w:r>
          </w:p>
        </w:tc>
        <w:tc>
          <w:tcPr>
            <w:tcW w:w="88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丙类</w:t>
            </w:r>
          </w:p>
        </w:tc>
        <w:tc>
          <w:tcPr>
            <w:tcW w:w="1260"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p>
        </w:tc>
      </w:tr>
    </w:tbl>
    <w:p>
      <w:pPr>
        <w:pStyle w:val="2"/>
        <w:spacing w:line="360" w:lineRule="auto"/>
        <w:rPr>
          <w:rFonts w:hint="eastAsia" w:ascii="Times New Roman" w:hAnsi="Times New Roman" w:eastAsia="宋体" w:cs="Times New Roman"/>
          <w:color w:val="000000"/>
          <w:kern w:val="2"/>
          <w:sz w:val="28"/>
          <w:szCs w:val="28"/>
          <w:lang w:val="en-US" w:eastAsia="zh-CN" w:bidi="ar-SA"/>
        </w:rPr>
      </w:pPr>
      <w:r>
        <w:rPr>
          <w:rFonts w:hint="eastAsia" w:cs="Times New Roman"/>
          <w:color w:val="000000"/>
          <w:sz w:val="28"/>
          <w:szCs w:val="28"/>
          <w:lang w:eastAsia="zh-CN"/>
        </w:rPr>
        <w:t>根据安全设计诊断报告</w:t>
      </w:r>
      <w:r>
        <w:rPr>
          <w:rFonts w:hint="eastAsia" w:cs="Times New Roman"/>
          <w:color w:val="000000"/>
          <w:sz w:val="28"/>
          <w:szCs w:val="28"/>
          <w:lang w:val="en-US" w:eastAsia="zh-CN"/>
        </w:rPr>
        <w:t>及企业提供的工艺参数，</w:t>
      </w:r>
      <w:r>
        <w:rPr>
          <w:rFonts w:hint="eastAsia" w:cs="Times New Roman"/>
          <w:color w:val="000000"/>
          <w:sz w:val="28"/>
          <w:szCs w:val="28"/>
          <w:lang w:eastAsia="zh-CN"/>
        </w:rPr>
        <w:t>生产车间</w:t>
      </w:r>
      <w:r>
        <w:rPr>
          <w:rFonts w:hint="eastAsia" w:ascii="Times New Roman" w:hAnsi="Times New Roman" w:eastAsia="宋体" w:cs="Times New Roman"/>
          <w:color w:val="000000"/>
          <w:sz w:val="28"/>
          <w:szCs w:val="28"/>
          <w:lang w:eastAsia="zh-CN"/>
        </w:rPr>
        <w:t>精制工段精馏塔操作温度</w:t>
      </w:r>
      <w:r>
        <w:rPr>
          <w:rFonts w:hint="eastAsia" w:ascii="Times New Roman" w:hAnsi="Times New Roman" w:eastAsia="宋体" w:cs="Times New Roman"/>
          <w:color w:val="000000"/>
          <w:sz w:val="28"/>
          <w:szCs w:val="28"/>
          <w:lang w:val="en-US" w:eastAsia="zh-CN"/>
        </w:rPr>
        <w:t>100℃左右，高于糠醛闪点（60℃），</w:t>
      </w:r>
      <w:r>
        <w:rPr>
          <w:rFonts w:hint="eastAsia" w:cs="Times New Roman"/>
          <w:color w:val="000000"/>
          <w:sz w:val="28"/>
          <w:szCs w:val="28"/>
          <w:lang w:val="en-US" w:eastAsia="zh-CN"/>
        </w:rPr>
        <w:t>局部</w:t>
      </w:r>
      <w:r>
        <w:rPr>
          <w:rFonts w:hint="eastAsia" w:ascii="Times New Roman" w:hAnsi="Times New Roman" w:eastAsia="宋体" w:cs="Times New Roman"/>
          <w:color w:val="000000"/>
          <w:sz w:val="28"/>
          <w:szCs w:val="28"/>
          <w:lang w:val="en-US" w:eastAsia="zh-CN"/>
        </w:rPr>
        <w:t>火灾危险性为乙类，属于爆炸性危险气体环境，</w:t>
      </w:r>
      <w:r>
        <w:rPr>
          <w:rFonts w:hint="eastAsia" w:ascii="Times New Roman" w:hAnsi="Times New Roman" w:eastAsia="宋体" w:cs="Times New Roman"/>
          <w:color w:val="000000"/>
          <w:sz w:val="28"/>
          <w:szCs w:val="28"/>
          <w:lang w:eastAsia="zh-CN"/>
        </w:rPr>
        <w:t>精制工段</w:t>
      </w:r>
      <w:r>
        <w:rPr>
          <w:rFonts w:hint="eastAsia" w:cs="Times New Roman"/>
          <w:color w:val="000000"/>
          <w:sz w:val="28"/>
          <w:szCs w:val="28"/>
          <w:lang w:eastAsia="zh-CN"/>
        </w:rPr>
        <w:t>建筑面积16m</w:t>
      </w:r>
      <w:r>
        <w:rPr>
          <w:rFonts w:hint="eastAsia" w:cs="Times New Roman"/>
          <w:color w:val="000000"/>
          <w:sz w:val="28"/>
          <w:szCs w:val="28"/>
          <w:vertAlign w:val="superscript"/>
          <w:lang w:eastAsia="zh-CN"/>
        </w:rPr>
        <w:t>2</w:t>
      </w:r>
      <w:r>
        <w:rPr>
          <w:rFonts w:hint="eastAsia" w:cs="Times New Roman"/>
          <w:color w:val="000000"/>
          <w:sz w:val="28"/>
          <w:szCs w:val="28"/>
          <w:lang w:eastAsia="zh-CN"/>
        </w:rPr>
        <w:t>占生产车间建筑</w:t>
      </w:r>
      <w:r>
        <w:rPr>
          <w:rFonts w:hint="eastAsia" w:ascii="Times New Roman" w:hAnsi="Times New Roman" w:eastAsia="宋体" w:cs="Times New Roman"/>
          <w:color w:val="000000"/>
          <w:sz w:val="28"/>
          <w:szCs w:val="28"/>
          <w:lang w:eastAsia="zh-CN"/>
        </w:rPr>
        <w:t>面积的比例小于</w:t>
      </w:r>
      <w:r>
        <w:rPr>
          <w:rFonts w:hint="eastAsia" w:ascii="Times New Roman" w:hAnsi="Times New Roman" w:eastAsia="宋体" w:cs="Times New Roman"/>
          <w:color w:val="000000"/>
          <w:sz w:val="28"/>
          <w:szCs w:val="28"/>
          <w:lang w:val="en-US" w:eastAsia="zh-CN"/>
        </w:rPr>
        <w:t>5%</w:t>
      </w:r>
      <w:r>
        <w:rPr>
          <w:rFonts w:hint="eastAsia" w:cs="Times New Roman"/>
          <w:color w:val="000000"/>
          <w:sz w:val="28"/>
          <w:szCs w:val="28"/>
          <w:lang w:val="en-US" w:eastAsia="zh-CN"/>
        </w:rPr>
        <w:t>，且精制工段与生产车间其它部分用防火墙隔开</w:t>
      </w:r>
      <w:r>
        <w:rPr>
          <w:rFonts w:hint="eastAsia" w:ascii="Times New Roman" w:hAnsi="Times New Roman" w:eastAsia="宋体" w:cs="Times New Roman"/>
          <w:color w:val="000000"/>
          <w:sz w:val="28"/>
          <w:szCs w:val="28"/>
          <w:lang w:val="en-US" w:eastAsia="zh-CN"/>
        </w:rPr>
        <w:t>。因此，生产车间整体划分为丙类。</w:t>
      </w:r>
      <w:r>
        <w:rPr>
          <w:rFonts w:hint="eastAsia" w:ascii="Times New Roman" w:hAnsi="Times New Roman" w:eastAsia="宋体" w:cs="Times New Roman"/>
          <w:color w:val="000000"/>
          <w:kern w:val="2"/>
          <w:sz w:val="28"/>
          <w:szCs w:val="28"/>
          <w:lang w:val="en-US" w:eastAsia="zh-CN" w:bidi="ar-SA"/>
        </w:rPr>
        <w:t>生产车间采用门窗、轻质的屋面作为泄压设施，可以满足精制工段的泄压面积要求。</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default" w:ascii="Times New Roman" w:hAnsi="Times New Roman" w:eastAsia="黑体" w:cs="Times New Roman"/>
          <w:b w:val="0"/>
          <w:bCs/>
          <w:color w:val="auto"/>
          <w:kern w:val="2"/>
          <w:sz w:val="28"/>
          <w:szCs w:val="28"/>
          <w:lang w:val="en-US" w:eastAsia="zh-CN" w:bidi="ar-SA"/>
        </w:rPr>
      </w:pPr>
      <w:r>
        <w:rPr>
          <w:rFonts w:hint="eastAsia" w:ascii="Times New Roman" w:hAnsi="Times New Roman" w:eastAsia="黑体" w:cs="Times New Roman"/>
          <w:b w:val="0"/>
          <w:bCs/>
          <w:color w:val="auto"/>
          <w:kern w:val="2"/>
          <w:sz w:val="28"/>
          <w:szCs w:val="28"/>
          <w:lang w:val="en-US" w:eastAsia="zh-CN" w:bidi="ar-SA"/>
        </w:rPr>
        <w:t>建构筑物内外部防火间距</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eastAsia="zh-CN"/>
        </w:rPr>
        <w:t>厂区内建构筑物与周边设施防火间距</w:t>
      </w:r>
      <w:r>
        <w:rPr>
          <w:rFonts w:hint="eastAsia" w:hAnsi="宋体" w:cs="Times New Roman"/>
          <w:sz w:val="28"/>
          <w:szCs w:val="28"/>
          <w:lang w:eastAsia="zh-CN"/>
        </w:rPr>
        <w:t>见表</w:t>
      </w:r>
      <w:r>
        <w:rPr>
          <w:rFonts w:hint="eastAsia" w:hAnsi="宋体" w:cs="Times New Roman"/>
          <w:sz w:val="28"/>
          <w:szCs w:val="28"/>
          <w:lang w:val="en-US" w:eastAsia="zh-CN"/>
        </w:rPr>
        <w:t>1-4</w:t>
      </w:r>
      <w:r>
        <w:rPr>
          <w:rFonts w:hint="eastAsia" w:hAnsi="宋体" w:cs="Times New Roman"/>
          <w:sz w:val="28"/>
          <w:szCs w:val="28"/>
          <w:lang w:eastAsia="zh-CN"/>
        </w:rPr>
        <w:t>，</w:t>
      </w:r>
      <w:r>
        <w:rPr>
          <w:rFonts w:hint="eastAsia" w:ascii="Times New Roman" w:hAnsi="宋体" w:eastAsia="宋体" w:cs="Times New Roman"/>
          <w:sz w:val="28"/>
          <w:szCs w:val="28"/>
          <w:lang w:eastAsia="zh-CN"/>
        </w:rPr>
        <w:t>厂区内各建构筑物间防火间距见</w:t>
      </w:r>
      <w:r>
        <w:rPr>
          <w:rFonts w:hint="eastAsia" w:ascii="Times New Roman" w:hAnsi="宋体" w:eastAsia="宋体" w:cs="Times New Roman"/>
          <w:sz w:val="28"/>
          <w:szCs w:val="28"/>
          <w:lang w:val="en-US" w:eastAsia="zh-CN"/>
        </w:rPr>
        <w:t>表1</w:t>
      </w:r>
      <w:r>
        <w:rPr>
          <w:rFonts w:hint="eastAsia" w:hAnsi="宋体" w:cs="Times New Roman"/>
          <w:sz w:val="28"/>
          <w:szCs w:val="28"/>
          <w:lang w:val="en-US" w:eastAsia="zh-CN"/>
        </w:rPr>
        <w:t>-5，储罐的防火间距见表1-6</w:t>
      </w:r>
      <w:r>
        <w:rPr>
          <w:rFonts w:hint="eastAsia" w:ascii="Times New Roman" w:hAnsi="宋体" w:eastAsia="宋体"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-4</w:t>
      </w:r>
      <w:r>
        <w:rPr>
          <w:rFonts w:hint="eastAsia" w:ascii="Times New Roman" w:hAnsi="Times New Roman" w:eastAsia="黑体" w:cs="Times New Roman"/>
          <w:b w:val="0"/>
          <w:bCs w:val="0"/>
          <w:color w:val="000000"/>
          <w:kern w:val="28"/>
          <w:sz w:val="21"/>
          <w:szCs w:val="21"/>
          <w:lang w:val="en-US" w:eastAsia="zh-CN" w:bidi="ar-SA"/>
        </w:rPr>
        <w:t xml:space="preserve"> 厂内建构筑物与厂外建构筑物的防火间距表</w:t>
      </w:r>
    </w:p>
    <w:tbl>
      <w:tblPr>
        <w:tblStyle w:val="37"/>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2786"/>
        <w:gridCol w:w="806"/>
        <w:gridCol w:w="864"/>
        <w:gridCol w:w="3319"/>
        <w:gridCol w:w="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blHeader/>
          <w:jc w:val="center"/>
        </w:trPr>
        <w:tc>
          <w:tcPr>
            <w:tcW w:w="347" w:type="pct"/>
            <w:vMerge w:val="restart"/>
            <w:tcBorders>
              <w:tl2br w:val="nil"/>
              <w:tr2bl w:val="nil"/>
            </w:tcBorders>
            <w:noWrap w:val="0"/>
            <w:vAlign w:val="center"/>
          </w:tcPr>
          <w:p>
            <w:pPr>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序号</w:t>
            </w:r>
          </w:p>
        </w:tc>
        <w:tc>
          <w:tcPr>
            <w:tcW w:w="1531" w:type="pct"/>
            <w:vMerge w:val="restart"/>
            <w:tcBorders>
              <w:tl2br w:val="nil"/>
              <w:tr2bl w:val="nil"/>
            </w:tcBorders>
            <w:noWrap w:val="0"/>
            <w:vAlign w:val="center"/>
          </w:tcPr>
          <w:p>
            <w:pPr>
              <w:jc w:val="center"/>
              <w:rPr>
                <w:rFonts w:hint="default" w:ascii="Times New Roman" w:hAnsi="Times New Roman" w:eastAsia="宋体" w:cs="Times New Roman"/>
                <w:b/>
                <w:bCs w:val="0"/>
                <w:sz w:val="21"/>
                <w:szCs w:val="21"/>
              </w:rPr>
            </w:pPr>
            <w:r>
              <w:rPr>
                <w:rFonts w:hint="eastAsia" w:ascii="Times New Roman" w:hAnsi="Times New Roman" w:eastAsia="宋体" w:cs="Times New Roman"/>
                <w:b/>
                <w:color w:val="000000"/>
                <w:sz w:val="21"/>
                <w:szCs w:val="21"/>
                <w:lang w:eastAsia="zh-CN"/>
              </w:rPr>
              <w:t>厂内外</w:t>
            </w:r>
            <w:r>
              <w:rPr>
                <w:rFonts w:hint="default" w:ascii="Times New Roman" w:hAnsi="Times New Roman" w:eastAsia="宋体" w:cs="Times New Roman"/>
                <w:b/>
                <w:color w:val="000000"/>
                <w:sz w:val="21"/>
                <w:szCs w:val="21"/>
              </w:rPr>
              <w:t>建构筑物</w:t>
            </w:r>
          </w:p>
        </w:tc>
        <w:tc>
          <w:tcPr>
            <w:tcW w:w="917" w:type="pct"/>
            <w:gridSpan w:val="2"/>
            <w:tcBorders>
              <w:tl2br w:val="nil"/>
              <w:tr2bl w:val="nil"/>
            </w:tcBorders>
            <w:noWrap w:val="0"/>
            <w:vAlign w:val="center"/>
          </w:tcPr>
          <w:p>
            <w:pPr>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防火间距（m）</w:t>
            </w:r>
          </w:p>
        </w:tc>
        <w:tc>
          <w:tcPr>
            <w:tcW w:w="1824" w:type="pct"/>
            <w:vMerge w:val="restart"/>
            <w:tcBorders>
              <w:tl2br w:val="nil"/>
              <w:tr2bl w:val="nil"/>
            </w:tcBorders>
            <w:noWrap w:val="0"/>
            <w:vAlign w:val="center"/>
          </w:tcPr>
          <w:p>
            <w:pPr>
              <w:jc w:val="center"/>
              <w:rPr>
                <w:rFonts w:hint="default" w:ascii="Times New Roman" w:hAnsi="Times New Roman" w:eastAsia="宋体" w:cs="Times New Roman"/>
                <w:b/>
                <w:bCs w:val="0"/>
                <w:sz w:val="21"/>
                <w:szCs w:val="21"/>
              </w:rPr>
            </w:pPr>
            <w:r>
              <w:rPr>
                <w:rFonts w:hint="default" w:ascii="Times New Roman" w:hAnsi="Times New Roman" w:eastAsia="宋体" w:cs="Times New Roman"/>
                <w:b/>
                <w:bCs w:val="0"/>
                <w:sz w:val="21"/>
                <w:szCs w:val="21"/>
              </w:rPr>
              <w:t>依据</w:t>
            </w:r>
          </w:p>
        </w:tc>
        <w:tc>
          <w:tcPr>
            <w:tcW w:w="379" w:type="pct"/>
            <w:vMerge w:val="restart"/>
            <w:tcBorders>
              <w:tl2br w:val="nil"/>
              <w:tr2bl w:val="nil"/>
            </w:tcBorders>
            <w:noWrap w:val="0"/>
            <w:vAlign w:val="center"/>
          </w:tcPr>
          <w:p>
            <w:pPr>
              <w:jc w:val="center"/>
              <w:rPr>
                <w:rFonts w:hint="default" w:ascii="Times New Roman" w:hAnsi="Times New Roman" w:eastAsia="宋体" w:cs="Times New Roman"/>
                <w:b/>
                <w:bCs w:val="0"/>
                <w:sz w:val="21"/>
                <w:szCs w:val="21"/>
                <w:lang w:eastAsia="zh-CN"/>
              </w:rPr>
            </w:pPr>
            <w:r>
              <w:rPr>
                <w:rFonts w:hint="default" w:ascii="Times New Roman" w:hAnsi="Times New Roman" w:eastAsia="宋体" w:cs="Times New Roman"/>
                <w:b/>
                <w:bCs w:val="0"/>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blHeader/>
          <w:jc w:val="center"/>
        </w:trPr>
        <w:tc>
          <w:tcPr>
            <w:tcW w:w="347" w:type="pct"/>
            <w:vMerge w:val="continue"/>
            <w:tcBorders>
              <w:tl2br w:val="nil"/>
              <w:tr2bl w:val="nil"/>
            </w:tcBorders>
            <w:noWrap w:val="0"/>
            <w:vAlign w:val="center"/>
          </w:tcPr>
          <w:p>
            <w:pPr>
              <w:jc w:val="center"/>
              <w:rPr>
                <w:rFonts w:hint="default" w:ascii="Times New Roman" w:hAnsi="Times New Roman" w:eastAsia="宋体" w:cs="Times New Roman"/>
                <w:b/>
                <w:sz w:val="21"/>
                <w:szCs w:val="21"/>
              </w:rPr>
            </w:pPr>
          </w:p>
        </w:tc>
        <w:tc>
          <w:tcPr>
            <w:tcW w:w="1531" w:type="pct"/>
            <w:vMerge w:val="continue"/>
            <w:tcBorders>
              <w:tl2br w:val="nil"/>
              <w:tr2bl w:val="nil"/>
            </w:tcBorders>
            <w:noWrap w:val="0"/>
            <w:vAlign w:val="center"/>
          </w:tcPr>
          <w:p>
            <w:pPr>
              <w:jc w:val="center"/>
              <w:rPr>
                <w:rFonts w:hint="default" w:ascii="Times New Roman" w:hAnsi="Times New Roman" w:eastAsia="宋体" w:cs="Times New Roman"/>
                <w:b/>
                <w:sz w:val="21"/>
                <w:szCs w:val="21"/>
              </w:rPr>
            </w:pPr>
          </w:p>
        </w:tc>
        <w:tc>
          <w:tcPr>
            <w:tcW w:w="442" w:type="pct"/>
            <w:tcBorders>
              <w:tl2br w:val="nil"/>
              <w:tr2bl w:val="nil"/>
            </w:tcBorders>
            <w:noWrap w:val="0"/>
            <w:vAlign w:val="center"/>
          </w:tcPr>
          <w:p>
            <w:pPr>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规范</w:t>
            </w:r>
          </w:p>
          <w:p>
            <w:pPr>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要求</w:t>
            </w:r>
          </w:p>
        </w:tc>
        <w:tc>
          <w:tcPr>
            <w:tcW w:w="474" w:type="pct"/>
            <w:tcBorders>
              <w:tl2br w:val="nil"/>
              <w:tr2bl w:val="nil"/>
            </w:tcBorders>
            <w:noWrap w:val="0"/>
            <w:vAlign w:val="center"/>
          </w:tcPr>
          <w:p>
            <w:pPr>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实测</w:t>
            </w:r>
          </w:p>
          <w:p>
            <w:pPr>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距离</w:t>
            </w:r>
          </w:p>
        </w:tc>
        <w:tc>
          <w:tcPr>
            <w:tcW w:w="1824" w:type="pct"/>
            <w:vMerge w:val="continue"/>
            <w:tcBorders>
              <w:tl2br w:val="nil"/>
              <w:tr2bl w:val="nil"/>
            </w:tcBorders>
            <w:noWrap w:val="0"/>
            <w:vAlign w:val="center"/>
          </w:tcPr>
          <w:p>
            <w:pPr>
              <w:jc w:val="center"/>
              <w:rPr>
                <w:rFonts w:hint="default" w:ascii="Times New Roman" w:hAnsi="Times New Roman" w:eastAsia="宋体" w:cs="Times New Roman"/>
                <w:b/>
                <w:sz w:val="21"/>
                <w:szCs w:val="21"/>
              </w:rPr>
            </w:pPr>
          </w:p>
        </w:tc>
        <w:tc>
          <w:tcPr>
            <w:tcW w:w="379" w:type="pct"/>
            <w:vMerge w:val="continue"/>
            <w:tcBorders>
              <w:tl2br w:val="nil"/>
              <w:tr2bl w:val="nil"/>
            </w:tcBorders>
            <w:noWrap w:val="0"/>
            <w:vAlign w:val="center"/>
          </w:tcPr>
          <w:p>
            <w:pPr>
              <w:jc w:val="center"/>
              <w:rPr>
                <w:rFonts w:hint="default" w:ascii="Times New Roman" w:hAnsi="Times New Roman" w:eastAsia="宋体" w:cs="Times New Roman"/>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jc w:val="center"/>
        </w:trPr>
        <w:tc>
          <w:tcPr>
            <w:tcW w:w="347"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531" w:type="pct"/>
            <w:tcBorders>
              <w:tl2br w:val="nil"/>
              <w:tr2bl w:val="nil"/>
            </w:tcBorders>
            <w:noWrap w:val="0"/>
            <w:vAlign w:val="center"/>
          </w:tcPr>
          <w:p>
            <w:pPr>
              <w:ind w:firstLine="105" w:firstLineChars="50"/>
              <w:jc w:val="center"/>
              <w:rPr>
                <w:rFonts w:hint="default" w:ascii="Times New Roman" w:hAnsi="Times New Roman" w:eastAsia="宋体" w:cs="Times New Roman"/>
                <w:sz w:val="21"/>
                <w:szCs w:val="21"/>
              </w:rPr>
            </w:pPr>
            <w:r>
              <w:rPr>
                <w:rFonts w:hint="eastAsia" w:cs="Times New Roman"/>
                <w:sz w:val="21"/>
                <w:szCs w:val="21"/>
                <w:lang w:val="en-US" w:eastAsia="zh-CN"/>
              </w:rPr>
              <w:t>糠醛罐</w:t>
            </w:r>
            <w:r>
              <w:rPr>
                <w:rFonts w:hint="eastAsia" w:ascii="Times New Roman" w:hAnsi="Times New Roman" w:eastAsia="宋体" w:cs="Times New Roman"/>
                <w:sz w:val="21"/>
                <w:szCs w:val="21"/>
                <w:lang w:eastAsia="zh-CN"/>
              </w:rPr>
              <w:t>与</w:t>
            </w:r>
            <w:r>
              <w:rPr>
                <w:rFonts w:hint="eastAsia" w:cs="Times New Roman"/>
                <w:sz w:val="21"/>
                <w:szCs w:val="21"/>
                <w:lang w:val="en-US" w:eastAsia="zh-CN"/>
              </w:rPr>
              <w:t>西</w:t>
            </w:r>
            <w:r>
              <w:rPr>
                <w:rFonts w:hint="eastAsia" w:ascii="Times New Roman" w:hAnsi="Times New Roman" w:eastAsia="宋体" w:cs="Times New Roman"/>
                <w:sz w:val="21"/>
                <w:szCs w:val="21"/>
                <w:lang w:eastAsia="zh-CN"/>
              </w:rPr>
              <w:t>侧厂外道路</w:t>
            </w:r>
          </w:p>
        </w:tc>
        <w:tc>
          <w:tcPr>
            <w:tcW w:w="442" w:type="pct"/>
            <w:tcBorders>
              <w:tl2br w:val="nil"/>
              <w:tr2bl w:val="nil"/>
            </w:tcBorders>
            <w:noWrap w:val="0"/>
            <w:vAlign w:val="center"/>
          </w:tcPr>
          <w:p>
            <w:pPr>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15</w:t>
            </w:r>
          </w:p>
        </w:tc>
        <w:tc>
          <w:tcPr>
            <w:tcW w:w="474" w:type="pct"/>
            <w:tcBorders>
              <w:tl2br w:val="nil"/>
              <w:tr2bl w:val="nil"/>
            </w:tcBorders>
            <w:noWrap w:val="0"/>
            <w:vAlign w:val="center"/>
          </w:tcPr>
          <w:p>
            <w:pPr>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350</w:t>
            </w:r>
          </w:p>
        </w:tc>
        <w:tc>
          <w:tcPr>
            <w:tcW w:w="1824"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4.2.9</w:t>
            </w:r>
            <w:r>
              <w:rPr>
                <w:rFonts w:hint="eastAsia" w:ascii="Times New Roman" w:hAnsi="Times New Roman" w:eastAsia="宋体" w:cs="Times New Roman"/>
                <w:color w:val="000000"/>
                <w:sz w:val="21"/>
                <w:szCs w:val="21"/>
                <w:lang w:eastAsia="zh-CN"/>
              </w:rPr>
              <w:t>条</w:t>
            </w:r>
          </w:p>
        </w:tc>
        <w:tc>
          <w:tcPr>
            <w:tcW w:w="379"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jc w:val="center"/>
        </w:trPr>
        <w:tc>
          <w:tcPr>
            <w:tcW w:w="347" w:type="pct"/>
            <w:tcBorders>
              <w:tl2br w:val="nil"/>
              <w:tr2bl w:val="nil"/>
            </w:tcBorders>
            <w:noWrap w:val="0"/>
            <w:vAlign w:val="center"/>
          </w:tcPr>
          <w:p>
            <w:pPr>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2</w:t>
            </w:r>
          </w:p>
        </w:tc>
        <w:tc>
          <w:tcPr>
            <w:tcW w:w="1531" w:type="pct"/>
            <w:tcBorders>
              <w:tl2br w:val="nil"/>
              <w:tr2bl w:val="nil"/>
            </w:tcBorders>
            <w:noWrap w:val="0"/>
            <w:vAlign w:val="center"/>
          </w:tcPr>
          <w:p>
            <w:pPr>
              <w:ind w:firstLine="105" w:firstLineChars="50"/>
              <w:jc w:val="center"/>
              <w:rPr>
                <w:rFonts w:hint="eastAsia" w:cs="Times New Roman"/>
                <w:sz w:val="21"/>
                <w:szCs w:val="21"/>
                <w:lang w:val="en-US" w:eastAsia="zh-CN"/>
              </w:rPr>
            </w:pPr>
            <w:r>
              <w:rPr>
                <w:rFonts w:hint="eastAsia" w:cs="Times New Roman"/>
                <w:sz w:val="21"/>
                <w:szCs w:val="21"/>
                <w:lang w:val="en-US" w:eastAsia="zh-CN"/>
              </w:rPr>
              <w:t>糠醛罐</w:t>
            </w:r>
            <w:r>
              <w:rPr>
                <w:rFonts w:hint="eastAsia" w:ascii="Times New Roman" w:hAnsi="Times New Roman" w:eastAsia="宋体" w:cs="Times New Roman"/>
                <w:sz w:val="21"/>
                <w:szCs w:val="21"/>
                <w:lang w:eastAsia="zh-CN"/>
              </w:rPr>
              <w:t>与</w:t>
            </w:r>
            <w:r>
              <w:rPr>
                <w:rFonts w:hint="eastAsia" w:cs="Times New Roman"/>
                <w:sz w:val="21"/>
                <w:szCs w:val="21"/>
                <w:lang w:val="en-US" w:eastAsia="zh-CN"/>
              </w:rPr>
              <w:t>北</w:t>
            </w:r>
            <w:r>
              <w:rPr>
                <w:rFonts w:hint="eastAsia" w:ascii="Times New Roman" w:hAnsi="Times New Roman" w:eastAsia="宋体" w:cs="Times New Roman"/>
                <w:sz w:val="21"/>
                <w:szCs w:val="21"/>
                <w:lang w:eastAsia="zh-CN"/>
              </w:rPr>
              <w:t>侧厂外道路</w:t>
            </w:r>
          </w:p>
        </w:tc>
        <w:tc>
          <w:tcPr>
            <w:tcW w:w="442" w:type="pct"/>
            <w:tcBorders>
              <w:tl2br w:val="nil"/>
              <w:tr2bl w:val="nil"/>
            </w:tcBorders>
            <w:noWrap w:val="0"/>
            <w:vAlign w:val="center"/>
          </w:tcPr>
          <w:p>
            <w:pPr>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15</w:t>
            </w:r>
          </w:p>
        </w:tc>
        <w:tc>
          <w:tcPr>
            <w:tcW w:w="474" w:type="pct"/>
            <w:tcBorders>
              <w:tl2br w:val="nil"/>
              <w:tr2bl w:val="nil"/>
            </w:tcBorders>
            <w:noWrap w:val="0"/>
            <w:vAlign w:val="center"/>
          </w:tcPr>
          <w:p>
            <w:pPr>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500</w:t>
            </w:r>
          </w:p>
        </w:tc>
        <w:tc>
          <w:tcPr>
            <w:tcW w:w="1824"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4.2.9</w:t>
            </w:r>
            <w:r>
              <w:rPr>
                <w:rFonts w:hint="eastAsia" w:ascii="Times New Roman" w:hAnsi="Times New Roman" w:eastAsia="宋体" w:cs="Times New Roman"/>
                <w:color w:val="000000"/>
                <w:sz w:val="21"/>
                <w:szCs w:val="21"/>
                <w:lang w:eastAsia="zh-CN"/>
              </w:rPr>
              <w:t>条</w:t>
            </w:r>
          </w:p>
        </w:tc>
        <w:tc>
          <w:tcPr>
            <w:tcW w:w="379" w:type="pct"/>
            <w:tcBorders>
              <w:tl2br w:val="nil"/>
              <w:tr2bl w:val="nil"/>
            </w:tcBorders>
            <w:noWrap w:val="0"/>
            <w:vAlign w:val="center"/>
          </w:tcPr>
          <w:p>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-5</w:t>
      </w:r>
      <w:r>
        <w:rPr>
          <w:rFonts w:hint="eastAsia" w:ascii="Times New Roman" w:hAnsi="Times New Roman" w:eastAsia="黑体" w:cs="Times New Roman"/>
          <w:b w:val="0"/>
          <w:bCs w:val="0"/>
          <w:color w:val="000000"/>
          <w:kern w:val="28"/>
          <w:sz w:val="21"/>
          <w:szCs w:val="21"/>
          <w:lang w:val="en-US" w:eastAsia="zh-CN" w:bidi="ar-SA"/>
        </w:rPr>
        <w:t xml:space="preserve"> 厂内主要建构筑物之间的防火间距表</w:t>
      </w:r>
    </w:p>
    <w:tbl>
      <w:tblPr>
        <w:tblStyle w:val="37"/>
        <w:tblW w:w="50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fixed"/>
        <w:tblCellMar>
          <w:top w:w="0" w:type="dxa"/>
          <w:left w:w="108" w:type="dxa"/>
          <w:bottom w:w="0" w:type="dxa"/>
          <w:right w:w="108" w:type="dxa"/>
        </w:tblCellMar>
      </w:tblPr>
      <w:tblGrid>
        <w:gridCol w:w="498"/>
        <w:gridCol w:w="1552"/>
        <w:gridCol w:w="666"/>
        <w:gridCol w:w="1584"/>
        <w:gridCol w:w="673"/>
        <w:gridCol w:w="650"/>
        <w:gridCol w:w="3176"/>
        <w:gridCol w:w="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vMerge w:val="restart"/>
            <w:tcBorders>
              <w:tl2br w:val="nil"/>
              <w:tr2bl w:val="nil"/>
            </w:tcBorders>
            <w:noWrap w:val="0"/>
            <w:vAlign w:val="center"/>
          </w:tcPr>
          <w:p>
            <w:pPr>
              <w:numPr>
                <w:ilvl w:val="0"/>
                <w:numId w:val="0"/>
              </w:numPr>
              <w:spacing w:line="240" w:lineRule="auto"/>
              <w:ind w:leftChars="0"/>
              <w:jc w:val="center"/>
              <w:rPr>
                <w:rFonts w:hint="default" w:ascii="Times New Roman" w:hAnsi="Times New Roman" w:eastAsia="宋体" w:cs="Times New Roman"/>
                <w:b/>
                <w:color w:val="000000"/>
                <w:sz w:val="21"/>
                <w:szCs w:val="21"/>
                <w:lang w:eastAsia="zh-CN"/>
              </w:rPr>
            </w:pPr>
            <w:r>
              <w:rPr>
                <w:rFonts w:hint="default" w:ascii="Times New Roman" w:hAnsi="Times New Roman" w:eastAsia="宋体" w:cs="Times New Roman"/>
                <w:b/>
                <w:color w:val="000000"/>
                <w:sz w:val="21"/>
                <w:szCs w:val="21"/>
                <w:lang w:eastAsia="zh-CN"/>
              </w:rPr>
              <w:t>序号</w:t>
            </w:r>
          </w:p>
        </w:tc>
        <w:tc>
          <w:tcPr>
            <w:tcW w:w="817" w:type="pct"/>
            <w:vMerge w:val="restart"/>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r>
              <w:rPr>
                <w:rFonts w:hint="default" w:ascii="Times New Roman" w:hAnsi="Times New Roman" w:eastAsia="宋体" w:cs="Times New Roman"/>
                <w:b/>
                <w:color w:val="000000"/>
                <w:sz w:val="21"/>
                <w:szCs w:val="21"/>
              </w:rPr>
              <w:t>建构筑物</w:t>
            </w:r>
          </w:p>
        </w:tc>
        <w:tc>
          <w:tcPr>
            <w:tcW w:w="351" w:type="pct"/>
            <w:vMerge w:val="restart"/>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r>
              <w:rPr>
                <w:rFonts w:hint="default" w:ascii="Times New Roman" w:hAnsi="Times New Roman" w:eastAsia="宋体" w:cs="Times New Roman"/>
                <w:b/>
                <w:color w:val="000000"/>
                <w:sz w:val="21"/>
                <w:szCs w:val="21"/>
              </w:rPr>
              <w:t>方位</w:t>
            </w:r>
          </w:p>
        </w:tc>
        <w:tc>
          <w:tcPr>
            <w:tcW w:w="834" w:type="pct"/>
            <w:vMerge w:val="restart"/>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r>
              <w:rPr>
                <w:rFonts w:hint="default" w:ascii="Times New Roman" w:hAnsi="Times New Roman" w:eastAsia="宋体" w:cs="Times New Roman"/>
                <w:b/>
                <w:color w:val="000000"/>
                <w:sz w:val="21"/>
                <w:szCs w:val="21"/>
              </w:rPr>
              <w:t>建构筑物</w:t>
            </w:r>
          </w:p>
        </w:tc>
        <w:tc>
          <w:tcPr>
            <w:tcW w:w="697" w:type="pct"/>
            <w:gridSpan w:val="2"/>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r>
              <w:rPr>
                <w:rFonts w:hint="default" w:ascii="Times New Roman" w:hAnsi="Times New Roman" w:eastAsia="宋体" w:cs="Times New Roman"/>
                <w:b/>
                <w:bCs w:val="0"/>
                <w:color w:val="000000"/>
                <w:sz w:val="21"/>
                <w:szCs w:val="21"/>
              </w:rPr>
              <w:t>防火间距（m）</w:t>
            </w:r>
          </w:p>
        </w:tc>
        <w:tc>
          <w:tcPr>
            <w:tcW w:w="1673" w:type="pct"/>
            <w:vMerge w:val="restart"/>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r>
              <w:rPr>
                <w:rFonts w:hint="default" w:ascii="Times New Roman" w:hAnsi="Times New Roman" w:eastAsia="宋体" w:cs="Times New Roman"/>
                <w:b/>
                <w:color w:val="000000"/>
                <w:sz w:val="21"/>
                <w:szCs w:val="21"/>
              </w:rPr>
              <w:t>依据</w:t>
            </w:r>
          </w:p>
        </w:tc>
        <w:tc>
          <w:tcPr>
            <w:tcW w:w="362" w:type="pct"/>
            <w:vMerge w:val="restart"/>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lang w:eastAsia="zh-CN"/>
              </w:rPr>
            </w:pPr>
            <w:r>
              <w:rPr>
                <w:rFonts w:hint="default" w:ascii="Times New Roman" w:hAnsi="Times New Roman" w:eastAsia="宋体" w:cs="Times New Roman"/>
                <w:b/>
                <w:color w:val="000000"/>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817"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351"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834"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354" w:type="pct"/>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r>
              <w:rPr>
                <w:rFonts w:hint="default" w:ascii="Times New Roman" w:hAnsi="Times New Roman" w:eastAsia="宋体" w:cs="Times New Roman"/>
                <w:b/>
                <w:color w:val="000000"/>
                <w:sz w:val="21"/>
                <w:szCs w:val="21"/>
              </w:rPr>
              <w:t>规范</w:t>
            </w:r>
          </w:p>
          <w:p>
            <w:pPr>
              <w:spacing w:line="240" w:lineRule="auto"/>
              <w:jc w:val="center"/>
              <w:rPr>
                <w:rFonts w:hint="default" w:ascii="Times New Roman" w:hAnsi="Times New Roman" w:eastAsia="宋体" w:cs="Times New Roman"/>
                <w:b/>
                <w:color w:val="000000"/>
                <w:kern w:val="2"/>
                <w:sz w:val="21"/>
                <w:szCs w:val="21"/>
                <w:lang w:val="en-US" w:eastAsia="zh-CN" w:bidi="ar-SA"/>
              </w:rPr>
            </w:pPr>
            <w:r>
              <w:rPr>
                <w:rFonts w:hint="default" w:ascii="Times New Roman" w:hAnsi="Times New Roman" w:eastAsia="宋体" w:cs="Times New Roman"/>
                <w:b/>
                <w:color w:val="000000"/>
                <w:sz w:val="21"/>
                <w:szCs w:val="21"/>
              </w:rPr>
              <w:t>要求</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b/>
                <w:color w:val="000000"/>
                <w:kern w:val="2"/>
                <w:sz w:val="21"/>
                <w:szCs w:val="21"/>
                <w:lang w:val="en-US" w:eastAsia="zh-CN" w:bidi="ar-SA"/>
              </w:rPr>
            </w:pPr>
            <w:r>
              <w:rPr>
                <w:rFonts w:hint="default" w:ascii="Times New Roman" w:hAnsi="Times New Roman" w:eastAsia="宋体" w:cs="Times New Roman"/>
                <w:b/>
                <w:color w:val="000000"/>
                <w:sz w:val="21"/>
                <w:szCs w:val="21"/>
              </w:rPr>
              <w:t>实际距离</w:t>
            </w:r>
          </w:p>
        </w:tc>
        <w:tc>
          <w:tcPr>
            <w:tcW w:w="1673"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p>
        </w:tc>
        <w:tc>
          <w:tcPr>
            <w:tcW w:w="362"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b/>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vMerge w:val="restart"/>
            <w:tcBorders>
              <w:tl2br w:val="nil"/>
              <w:tr2bl w:val="nil"/>
            </w:tcBorders>
            <w:noWrap w:val="0"/>
            <w:vAlign w:val="center"/>
          </w:tcPr>
          <w:p>
            <w:pPr>
              <w:numPr>
                <w:ilvl w:val="0"/>
                <w:numId w:val="7"/>
              </w:numPr>
              <w:spacing w:line="240" w:lineRule="auto"/>
              <w:ind w:left="454" w:leftChars="0" w:hanging="361" w:firstLineChars="0"/>
              <w:jc w:val="center"/>
              <w:rPr>
                <w:rFonts w:hint="default" w:ascii="Times New Roman" w:hAnsi="Times New Roman" w:eastAsia="宋体" w:cs="Times New Roman"/>
                <w:color w:val="000000"/>
                <w:sz w:val="21"/>
                <w:szCs w:val="21"/>
              </w:rPr>
            </w:pPr>
          </w:p>
        </w:tc>
        <w:tc>
          <w:tcPr>
            <w:tcW w:w="817" w:type="pct"/>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生产车间</w:t>
            </w:r>
          </w:p>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eastAsia="zh-CN"/>
              </w:rPr>
              <w:t>丙</w:t>
            </w:r>
            <w:r>
              <w:rPr>
                <w:rFonts w:hint="default" w:ascii="Times New Roman" w:hAnsi="Times New Roman" w:eastAsia="宋体" w:cs="Times New Roman"/>
                <w:color w:val="000000"/>
                <w:sz w:val="21"/>
                <w:szCs w:val="21"/>
              </w:rPr>
              <w:t>类</w:t>
            </w:r>
            <w:r>
              <w:rPr>
                <w:rFonts w:hint="eastAsia" w:ascii="Times New Roman" w:hAnsi="Times New Roman" w:eastAsia="宋体" w:cs="Times New Roman"/>
                <w:color w:val="000000"/>
                <w:sz w:val="21"/>
                <w:szCs w:val="21"/>
                <w:lang w:eastAsia="zh-CN"/>
              </w:rPr>
              <w:t>，二级</w:t>
            </w:r>
            <w:r>
              <w:rPr>
                <w:rFonts w:hint="default" w:ascii="Times New Roman" w:hAnsi="Times New Roman" w:eastAsia="宋体" w:cs="Times New Roman"/>
                <w:color w:val="000000"/>
                <w:sz w:val="21"/>
                <w:szCs w:val="21"/>
              </w:rPr>
              <w:t>）</w:t>
            </w: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机修</w:t>
            </w:r>
            <w:r>
              <w:rPr>
                <w:rFonts w:hint="eastAsia" w:cs="Times New Roman"/>
                <w:color w:val="000000"/>
                <w:sz w:val="21"/>
                <w:szCs w:val="21"/>
                <w:lang w:val="en-US" w:eastAsia="zh-CN"/>
              </w:rPr>
              <w:t>车间</w:t>
            </w:r>
            <w:r>
              <w:rPr>
                <w:rFonts w:hint="eastAsia" w:ascii="Times New Roman" w:hAnsi="Times New Roman" w:eastAsia="宋体" w:cs="Times New Roman"/>
                <w:color w:val="000000"/>
                <w:sz w:val="21"/>
                <w:szCs w:val="21"/>
                <w:lang w:eastAsia="zh-CN"/>
              </w:rPr>
              <w:t>（丁类，二级）</w:t>
            </w:r>
          </w:p>
        </w:tc>
        <w:tc>
          <w:tcPr>
            <w:tcW w:w="354"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w:t>
            </w:r>
            <w:r>
              <w:rPr>
                <w:rFonts w:hint="eastAsia" w:cs="Times New Roman"/>
                <w:color w:val="000000"/>
                <w:sz w:val="21"/>
                <w:szCs w:val="21"/>
                <w:lang w:val="en-US" w:eastAsia="zh-CN"/>
              </w:rPr>
              <w:t>0</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eastAsia" w:ascii="Times New Roman" w:hAnsi="Times New Roman" w:eastAsia="宋体" w:cs="Times New Roman"/>
                <w:color w:val="000000"/>
                <w:sz w:val="21"/>
                <w:szCs w:val="21"/>
                <w:lang w:eastAsia="zh-CN"/>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default" w:ascii="Times New Roman" w:hAnsi="Times New Roman" w:eastAsia="宋体" w:cs="Times New Roman"/>
                <w:color w:val="000000"/>
                <w:sz w:val="21"/>
                <w:szCs w:val="21"/>
              </w:rPr>
              <w:t>3.4.1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817"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val="en-US" w:eastAsia="zh-CN"/>
              </w:rPr>
              <w:t>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锅炉房</w:t>
            </w:r>
          </w:p>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（丁类，二级）</w:t>
            </w:r>
          </w:p>
        </w:tc>
        <w:tc>
          <w:tcPr>
            <w:tcW w:w="354"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lang w:val="en-US" w:eastAsia="zh-CN"/>
              </w:rPr>
            </w:pPr>
            <w:r>
              <w:rPr>
                <w:rFonts w:hint="eastAsia" w:cs="Times New Roman"/>
                <w:color w:val="000000"/>
                <w:sz w:val="21"/>
                <w:szCs w:val="21"/>
                <w:lang w:val="en-US" w:eastAsia="zh-CN"/>
              </w:rPr>
              <w:t>10</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default" w:ascii="Times New Roman" w:hAnsi="Times New Roman" w:eastAsia="宋体" w:cs="Times New Roman"/>
                <w:color w:val="000000"/>
                <w:sz w:val="21"/>
                <w:szCs w:val="21"/>
              </w:rPr>
              <w:t>3.4.1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817"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eastAsia="zh-CN"/>
              </w:rPr>
              <w:t>危废暂存间</w:t>
            </w:r>
          </w:p>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（丙类，二级）</w:t>
            </w:r>
          </w:p>
        </w:tc>
        <w:tc>
          <w:tcPr>
            <w:tcW w:w="35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10</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30</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default" w:ascii="Times New Roman" w:hAnsi="Times New Roman" w:eastAsia="宋体" w:cs="Times New Roman"/>
                <w:color w:val="000000"/>
                <w:sz w:val="21"/>
                <w:szCs w:val="21"/>
              </w:rPr>
              <w:t>3.4.1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817" w:type="pct"/>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玉米芯堆场</w:t>
            </w:r>
          </w:p>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（丙类）</w:t>
            </w:r>
          </w:p>
        </w:tc>
        <w:tc>
          <w:tcPr>
            <w:tcW w:w="354"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15</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28</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4.5.1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tcBorders>
              <w:tl2br w:val="nil"/>
              <w:tr2bl w:val="nil"/>
            </w:tcBorders>
            <w:noWrap w:val="0"/>
            <w:vAlign w:val="center"/>
          </w:tcPr>
          <w:p>
            <w:pPr>
              <w:numPr>
                <w:ilvl w:val="0"/>
                <w:numId w:val="7"/>
              </w:numPr>
              <w:spacing w:line="240" w:lineRule="auto"/>
              <w:ind w:left="454" w:leftChars="0" w:hanging="361" w:firstLineChars="0"/>
              <w:jc w:val="center"/>
              <w:rPr>
                <w:rFonts w:hint="default" w:ascii="Times New Roman" w:hAnsi="Times New Roman" w:eastAsia="宋体" w:cs="Times New Roman"/>
                <w:color w:val="000000"/>
                <w:sz w:val="21"/>
                <w:szCs w:val="21"/>
              </w:rPr>
            </w:pPr>
          </w:p>
        </w:tc>
        <w:tc>
          <w:tcPr>
            <w:tcW w:w="817"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成品储罐</w:t>
            </w:r>
          </w:p>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eastAsia="zh-CN"/>
              </w:rPr>
              <w:t>丙</w:t>
            </w:r>
            <w:r>
              <w:rPr>
                <w:rFonts w:hint="default" w:ascii="Times New Roman" w:hAnsi="Times New Roman" w:eastAsia="宋体" w:cs="Times New Roman"/>
                <w:color w:val="000000"/>
                <w:sz w:val="21"/>
                <w:szCs w:val="21"/>
              </w:rPr>
              <w:t>类）</w:t>
            </w: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机修</w:t>
            </w:r>
            <w:r>
              <w:rPr>
                <w:rFonts w:hint="eastAsia" w:cs="Times New Roman"/>
                <w:color w:val="000000"/>
                <w:sz w:val="21"/>
                <w:szCs w:val="21"/>
                <w:lang w:val="en-US" w:eastAsia="zh-CN"/>
              </w:rPr>
              <w:t>车间</w:t>
            </w:r>
            <w:r>
              <w:rPr>
                <w:rFonts w:hint="eastAsia" w:ascii="Times New Roman" w:hAnsi="Times New Roman" w:eastAsia="宋体" w:cs="Times New Roman"/>
                <w:color w:val="000000"/>
                <w:sz w:val="21"/>
                <w:szCs w:val="21"/>
                <w:lang w:eastAsia="zh-CN"/>
              </w:rPr>
              <w:t>（丁类，二级）</w:t>
            </w:r>
          </w:p>
        </w:tc>
        <w:tc>
          <w:tcPr>
            <w:tcW w:w="354"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1</w:t>
            </w:r>
            <w:r>
              <w:rPr>
                <w:rFonts w:hint="eastAsia" w:cs="Times New Roman"/>
                <w:color w:val="000000"/>
                <w:sz w:val="21"/>
                <w:szCs w:val="21"/>
                <w:lang w:val="en-US" w:eastAsia="zh-CN"/>
              </w:rPr>
              <w:t>2</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22</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4.2.1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tcBorders>
              <w:tl2br w:val="nil"/>
              <w:tr2bl w:val="nil"/>
            </w:tcBorders>
            <w:noWrap w:val="0"/>
            <w:vAlign w:val="center"/>
          </w:tcPr>
          <w:p>
            <w:pPr>
              <w:numPr>
                <w:ilvl w:val="0"/>
                <w:numId w:val="7"/>
              </w:numPr>
              <w:spacing w:line="240" w:lineRule="auto"/>
              <w:ind w:left="454" w:leftChars="0" w:hanging="361" w:firstLineChars="0"/>
              <w:jc w:val="center"/>
              <w:rPr>
                <w:rFonts w:hint="default" w:ascii="Times New Roman" w:hAnsi="Times New Roman" w:eastAsia="宋体" w:cs="Times New Roman"/>
                <w:color w:val="000000"/>
                <w:sz w:val="21"/>
                <w:szCs w:val="21"/>
              </w:rPr>
            </w:pPr>
          </w:p>
        </w:tc>
        <w:tc>
          <w:tcPr>
            <w:tcW w:w="817"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粉碎车间</w:t>
            </w:r>
          </w:p>
          <w:p>
            <w:pPr>
              <w:spacing w:line="240" w:lineRule="auto"/>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eastAsia="zh-CN"/>
              </w:rPr>
              <w:t>丙</w:t>
            </w:r>
            <w:r>
              <w:rPr>
                <w:rFonts w:hint="default" w:ascii="Times New Roman" w:hAnsi="Times New Roman" w:eastAsia="宋体" w:cs="Times New Roman"/>
                <w:color w:val="000000"/>
                <w:sz w:val="21"/>
                <w:szCs w:val="21"/>
              </w:rPr>
              <w:t>类</w:t>
            </w:r>
            <w:r>
              <w:rPr>
                <w:rFonts w:hint="eastAsia" w:ascii="Times New Roman" w:hAnsi="Times New Roman" w:eastAsia="宋体" w:cs="Times New Roman"/>
                <w:color w:val="000000"/>
                <w:sz w:val="21"/>
                <w:szCs w:val="21"/>
                <w:lang w:eastAsia="zh-CN"/>
              </w:rPr>
              <w:t>，二级</w:t>
            </w:r>
            <w:r>
              <w:rPr>
                <w:rFonts w:hint="default" w:ascii="Times New Roman" w:hAnsi="Times New Roman" w:eastAsia="宋体" w:cs="Times New Roman"/>
                <w:color w:val="000000"/>
                <w:sz w:val="21"/>
                <w:szCs w:val="21"/>
              </w:rPr>
              <w:t>）</w:t>
            </w: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玉米芯堆场</w:t>
            </w:r>
          </w:p>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（丙类）</w:t>
            </w:r>
          </w:p>
        </w:tc>
        <w:tc>
          <w:tcPr>
            <w:tcW w:w="35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15</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15</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4.5.1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tcBorders>
              <w:tl2br w:val="nil"/>
              <w:tr2bl w:val="nil"/>
            </w:tcBorders>
            <w:noWrap w:val="0"/>
            <w:vAlign w:val="center"/>
          </w:tcPr>
          <w:p>
            <w:pPr>
              <w:numPr>
                <w:ilvl w:val="0"/>
                <w:numId w:val="7"/>
              </w:numPr>
              <w:spacing w:line="240" w:lineRule="auto"/>
              <w:ind w:left="454" w:leftChars="0" w:hanging="361" w:firstLineChars="0"/>
              <w:jc w:val="center"/>
              <w:rPr>
                <w:rFonts w:hint="default" w:ascii="Times New Roman" w:hAnsi="Times New Roman" w:eastAsia="宋体" w:cs="Times New Roman"/>
                <w:color w:val="000000"/>
                <w:sz w:val="21"/>
                <w:szCs w:val="21"/>
              </w:rPr>
            </w:pPr>
          </w:p>
        </w:tc>
        <w:tc>
          <w:tcPr>
            <w:tcW w:w="817"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锅炉房</w:t>
            </w:r>
          </w:p>
          <w:p>
            <w:pPr>
              <w:spacing w:line="240" w:lineRule="auto"/>
              <w:jc w:val="center"/>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（丁类，二级）</w:t>
            </w: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cs="Times New Roman"/>
                <w:color w:val="000000"/>
                <w:sz w:val="21"/>
                <w:szCs w:val="21"/>
                <w:lang w:eastAsia="zh-CN"/>
              </w:rPr>
              <w:t>危废间</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（丙类，二级）</w:t>
            </w:r>
          </w:p>
        </w:tc>
        <w:tc>
          <w:tcPr>
            <w:tcW w:w="354" w:type="pct"/>
            <w:tcBorders>
              <w:tl2br w:val="nil"/>
              <w:tr2bl w:val="nil"/>
            </w:tcBorders>
            <w:noWrap w:val="0"/>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4</w:t>
            </w:r>
          </w:p>
        </w:tc>
        <w:tc>
          <w:tcPr>
            <w:tcW w:w="342" w:type="pct"/>
            <w:tcBorders>
              <w:tl2br w:val="nil"/>
              <w:tr2bl w:val="nil"/>
            </w:tcBorders>
            <w:noWrap w:val="0"/>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sz w:val="21"/>
                <w:szCs w:val="21"/>
              </w:rPr>
              <w:t>4</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default" w:ascii="Times New Roman" w:hAnsi="Times New Roman" w:eastAsia="宋体" w:cs="Times New Roman"/>
                <w:color w:val="000000"/>
                <w:sz w:val="21"/>
                <w:szCs w:val="21"/>
              </w:rPr>
              <w:t>3.4.1</w:t>
            </w:r>
            <w:r>
              <w:rPr>
                <w:rFonts w:hint="eastAsia" w:ascii="Times New Roman" w:hAnsi="Times New Roman" w:eastAsia="宋体" w:cs="Times New Roman"/>
                <w:color w:val="000000"/>
                <w:sz w:val="21"/>
                <w:szCs w:val="21"/>
                <w:lang w:eastAsia="zh-CN"/>
              </w:rPr>
              <w:t>条</w:t>
            </w:r>
            <w:r>
              <w:rPr>
                <w:rFonts w:hint="eastAsia"/>
                <w:sz w:val="21"/>
                <w:szCs w:val="21"/>
              </w:rPr>
              <w:t>注3</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262" w:type="pct"/>
            <w:tcBorders>
              <w:tl2br w:val="nil"/>
              <w:tr2bl w:val="nil"/>
            </w:tcBorders>
            <w:noWrap w:val="0"/>
            <w:vAlign w:val="center"/>
          </w:tcPr>
          <w:p>
            <w:pPr>
              <w:numPr>
                <w:ilvl w:val="0"/>
                <w:numId w:val="7"/>
              </w:numPr>
              <w:spacing w:line="240" w:lineRule="auto"/>
              <w:ind w:left="454" w:leftChars="0" w:hanging="361" w:firstLineChars="0"/>
              <w:jc w:val="center"/>
              <w:rPr>
                <w:rFonts w:hint="default" w:ascii="Times New Roman" w:hAnsi="Times New Roman" w:eastAsia="宋体" w:cs="Times New Roman"/>
                <w:color w:val="000000"/>
                <w:sz w:val="21"/>
                <w:szCs w:val="21"/>
              </w:rPr>
            </w:pPr>
          </w:p>
        </w:tc>
        <w:tc>
          <w:tcPr>
            <w:tcW w:w="817" w:type="pct"/>
            <w:tcBorders>
              <w:tl2br w:val="nil"/>
              <w:tr2bl w:val="nil"/>
            </w:tcBorders>
            <w:noWrap w:val="0"/>
            <w:vAlign w:val="center"/>
          </w:tcPr>
          <w:p>
            <w:pPr>
              <w:spacing w:line="240" w:lineRule="auto"/>
              <w:jc w:val="center"/>
              <w:rPr>
                <w:rFonts w:hint="eastAsia" w:cs="Times New Roman"/>
                <w:color w:val="000000"/>
                <w:sz w:val="21"/>
                <w:szCs w:val="21"/>
                <w:lang w:val="en-US" w:eastAsia="zh-CN"/>
              </w:rPr>
            </w:pPr>
            <w:r>
              <w:rPr>
                <w:rFonts w:hint="eastAsia" w:cs="Times New Roman"/>
                <w:color w:val="000000"/>
                <w:sz w:val="21"/>
                <w:szCs w:val="21"/>
                <w:lang w:val="en-US" w:eastAsia="zh-CN"/>
              </w:rPr>
              <w:t>办公室</w:t>
            </w:r>
          </w:p>
          <w:p>
            <w:pPr>
              <w:spacing w:line="240" w:lineRule="auto"/>
              <w:jc w:val="center"/>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eastAsia="zh-CN"/>
              </w:rPr>
              <w:t>（</w:t>
            </w:r>
            <w:r>
              <w:rPr>
                <w:rFonts w:hint="eastAsia" w:cs="Times New Roman"/>
                <w:color w:val="000000"/>
                <w:sz w:val="21"/>
                <w:szCs w:val="21"/>
                <w:lang w:val="en-US" w:eastAsia="zh-CN"/>
              </w:rPr>
              <w:t>民用</w:t>
            </w:r>
            <w:r>
              <w:rPr>
                <w:rFonts w:hint="eastAsia" w:ascii="Times New Roman" w:hAnsi="Times New Roman" w:eastAsia="宋体" w:cs="Times New Roman"/>
                <w:color w:val="000000"/>
                <w:sz w:val="21"/>
                <w:szCs w:val="21"/>
                <w:lang w:eastAsia="zh-CN"/>
              </w:rPr>
              <w:t>，二级）</w:t>
            </w:r>
          </w:p>
        </w:tc>
        <w:tc>
          <w:tcPr>
            <w:tcW w:w="351"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南</w:t>
            </w:r>
          </w:p>
        </w:tc>
        <w:tc>
          <w:tcPr>
            <w:tcW w:w="834" w:type="pct"/>
            <w:tcBorders>
              <w:tl2br w:val="nil"/>
              <w:tr2bl w:val="nil"/>
            </w:tcBorders>
            <w:noWrap w:val="0"/>
            <w:vAlign w:val="center"/>
          </w:tcPr>
          <w:p>
            <w:pPr>
              <w:spacing w:line="240" w:lineRule="auto"/>
              <w:jc w:val="center"/>
              <w:rPr>
                <w:rFonts w:hint="eastAsia" w:ascii="Times New Roman" w:hAnsi="Times New Roman" w:eastAsia="宋体" w:cs="Times New Roman"/>
                <w:color w:val="000000"/>
                <w:sz w:val="21"/>
                <w:szCs w:val="21"/>
                <w:lang w:eastAsia="zh-CN"/>
              </w:rPr>
            </w:pPr>
            <w:r>
              <w:rPr>
                <w:rFonts w:hint="eastAsia" w:ascii="Times New Roman" w:hAnsi="Times New Roman" w:eastAsia="宋体" w:cs="Times New Roman"/>
                <w:color w:val="000000"/>
                <w:sz w:val="21"/>
                <w:szCs w:val="21"/>
                <w:lang w:eastAsia="zh-CN"/>
              </w:rPr>
              <w:t>玉米芯堆场</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eastAsia="zh-CN"/>
              </w:rPr>
              <w:t>（丙类）</w:t>
            </w:r>
          </w:p>
        </w:tc>
        <w:tc>
          <w:tcPr>
            <w:tcW w:w="354"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sz w:val="21"/>
                <w:szCs w:val="21"/>
                <w:lang w:val="en-US" w:eastAsia="zh-CN"/>
              </w:rPr>
              <w:t>15</w:t>
            </w:r>
          </w:p>
        </w:tc>
        <w:tc>
          <w:tcPr>
            <w:tcW w:w="34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eastAsia" w:cs="Times New Roman"/>
                <w:color w:val="000000"/>
                <w:sz w:val="21"/>
                <w:szCs w:val="21"/>
                <w:lang w:val="en-US" w:eastAsia="zh-CN"/>
              </w:rPr>
              <w:t>20</w:t>
            </w:r>
          </w:p>
        </w:tc>
        <w:tc>
          <w:tcPr>
            <w:tcW w:w="1673" w:type="pct"/>
            <w:tcBorders>
              <w:tl2br w:val="nil"/>
              <w:tr2bl w:val="nil"/>
            </w:tcBorders>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w:t>
            </w:r>
          </w:p>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4.5.1</w:t>
            </w:r>
            <w:r>
              <w:rPr>
                <w:rFonts w:hint="eastAsia" w:ascii="Times New Roman" w:hAnsi="Times New Roman" w:eastAsia="宋体" w:cs="Times New Roman"/>
                <w:color w:val="000000"/>
                <w:sz w:val="21"/>
                <w:szCs w:val="21"/>
                <w:lang w:eastAsia="zh-CN"/>
              </w:rPr>
              <w:t>条</w:t>
            </w:r>
          </w:p>
        </w:tc>
        <w:tc>
          <w:tcPr>
            <w:tcW w:w="362" w:type="pct"/>
            <w:tcBorders>
              <w:tl2br w:val="nil"/>
              <w:tr2bl w:val="nil"/>
            </w:tcBorders>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-7</w:t>
      </w:r>
      <w:r>
        <w:rPr>
          <w:rFonts w:hint="eastAsia" w:ascii="Times New Roman" w:hAnsi="Times New Roman" w:eastAsia="黑体" w:cs="Times New Roman"/>
          <w:b w:val="0"/>
          <w:bCs w:val="0"/>
          <w:color w:val="000000"/>
          <w:kern w:val="28"/>
          <w:sz w:val="21"/>
          <w:szCs w:val="21"/>
          <w:lang w:val="en-US" w:eastAsia="zh-CN" w:bidi="ar-SA"/>
        </w:rPr>
        <w:t xml:space="preserve"> 成品储罐</w:t>
      </w:r>
      <w:r>
        <w:rPr>
          <w:rFonts w:hint="eastAsia" w:eastAsia="黑体" w:cs="Times New Roman"/>
          <w:b w:val="0"/>
          <w:bCs w:val="0"/>
          <w:color w:val="000000"/>
          <w:kern w:val="28"/>
          <w:sz w:val="21"/>
          <w:szCs w:val="21"/>
          <w:lang w:val="en-US" w:eastAsia="zh-CN" w:bidi="ar-SA"/>
        </w:rPr>
        <w:t>区</w:t>
      </w:r>
      <w:r>
        <w:rPr>
          <w:rFonts w:hint="eastAsia" w:ascii="Times New Roman" w:hAnsi="Times New Roman" w:eastAsia="黑体" w:cs="Times New Roman"/>
          <w:b w:val="0"/>
          <w:bCs w:val="0"/>
          <w:color w:val="000000"/>
          <w:kern w:val="28"/>
          <w:sz w:val="21"/>
          <w:szCs w:val="21"/>
          <w:lang w:val="en-US" w:eastAsia="zh-CN" w:bidi="ar-SA"/>
        </w:rPr>
        <w:t>防火间距表</w:t>
      </w:r>
    </w:p>
    <w:tbl>
      <w:tblPr>
        <w:tblStyle w:val="38"/>
        <w:tblW w:w="9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110"/>
        <w:gridCol w:w="875"/>
        <w:gridCol w:w="853"/>
        <w:gridCol w:w="3012"/>
        <w:gridCol w:w="708"/>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08" w:type="dxa"/>
            <w:vMerge w:val="restart"/>
            <w:noWrap w:val="0"/>
            <w:vAlign w:val="center"/>
          </w:tcPr>
          <w:p>
            <w:pPr>
              <w:pStyle w:val="45"/>
              <w:widowControl w:val="0"/>
              <w:spacing w:line="240" w:lineRule="auto"/>
              <w:ind w:left="0" w:leftChars="0" w:firstLine="0" w:firstLineChars="0"/>
              <w:jc w:val="center"/>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序号</w:t>
            </w:r>
          </w:p>
        </w:tc>
        <w:tc>
          <w:tcPr>
            <w:tcW w:w="2110" w:type="dxa"/>
            <w:vMerge w:val="restart"/>
            <w:noWrap w:val="0"/>
            <w:vAlign w:val="center"/>
          </w:tcPr>
          <w:p>
            <w:pPr>
              <w:pStyle w:val="45"/>
              <w:widowControl w:val="0"/>
              <w:spacing w:line="240" w:lineRule="auto"/>
              <w:ind w:left="0" w:leftChars="0" w:firstLine="0" w:firstLineChars="0"/>
              <w:jc w:val="center"/>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建构筑物</w:t>
            </w:r>
          </w:p>
        </w:tc>
        <w:tc>
          <w:tcPr>
            <w:tcW w:w="1728" w:type="dxa"/>
            <w:gridSpan w:val="2"/>
            <w:noWrap w:val="0"/>
            <w:vAlign w:val="center"/>
          </w:tcPr>
          <w:p>
            <w:pPr>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sz w:val="21"/>
                <w:szCs w:val="21"/>
              </w:rPr>
              <w:t>防火间距（m）</w:t>
            </w:r>
          </w:p>
        </w:tc>
        <w:tc>
          <w:tcPr>
            <w:tcW w:w="3012" w:type="dxa"/>
            <w:vMerge w:val="restart"/>
            <w:noWrap w:val="0"/>
            <w:vAlign w:val="center"/>
          </w:tcPr>
          <w:p>
            <w:pPr>
              <w:spacing w:line="240" w:lineRule="auto"/>
              <w:jc w:val="center"/>
              <w:rPr>
                <w:rFonts w:hint="default" w:ascii="Times New Roman" w:hAnsi="Times New Roman" w:eastAsia="宋体" w:cs="Times New Roman"/>
                <w:b/>
                <w:bCs/>
                <w:color w:val="000000"/>
                <w:kern w:val="2"/>
                <w:sz w:val="21"/>
                <w:szCs w:val="21"/>
                <w:lang w:val="en-US" w:eastAsia="zh-CN" w:bidi="ar-SA"/>
              </w:rPr>
            </w:pPr>
            <w:r>
              <w:rPr>
                <w:rFonts w:hint="default" w:ascii="Times New Roman" w:hAnsi="Times New Roman" w:eastAsia="宋体" w:cs="Times New Roman"/>
                <w:b/>
                <w:bCs/>
                <w:color w:val="000000"/>
                <w:sz w:val="21"/>
                <w:szCs w:val="21"/>
              </w:rPr>
              <w:t>依据</w:t>
            </w:r>
          </w:p>
        </w:tc>
        <w:tc>
          <w:tcPr>
            <w:tcW w:w="708" w:type="dxa"/>
            <w:vMerge w:val="restart"/>
            <w:noWrap w:val="0"/>
            <w:vAlign w:val="center"/>
          </w:tcPr>
          <w:p>
            <w:pPr>
              <w:spacing w:line="240" w:lineRule="auto"/>
              <w:jc w:val="center"/>
              <w:rPr>
                <w:rFonts w:hint="default" w:ascii="Times New Roman" w:hAnsi="Times New Roman" w:eastAsia="宋体" w:cs="Times New Roman"/>
                <w:b/>
                <w:bCs/>
                <w:color w:val="000000"/>
                <w:kern w:val="2"/>
                <w:sz w:val="21"/>
                <w:szCs w:val="21"/>
                <w:lang w:val="en-US" w:eastAsia="zh-CN" w:bidi="ar-SA"/>
              </w:rPr>
            </w:pPr>
            <w:r>
              <w:rPr>
                <w:rFonts w:hint="default" w:ascii="Times New Roman" w:hAnsi="Times New Roman" w:eastAsia="宋体" w:cs="Times New Roman"/>
                <w:b/>
                <w:bCs/>
                <w:color w:val="000000"/>
                <w:sz w:val="21"/>
                <w:szCs w:val="21"/>
                <w:lang w:eastAsia="zh-CN"/>
              </w:rPr>
              <w:t>结论</w:t>
            </w:r>
          </w:p>
        </w:tc>
        <w:tc>
          <w:tcPr>
            <w:tcW w:w="1311" w:type="dxa"/>
            <w:vMerge w:val="restart"/>
            <w:noWrap w:val="0"/>
            <w:vAlign w:val="center"/>
          </w:tcPr>
          <w:p>
            <w:pPr>
              <w:spacing w:line="240" w:lineRule="auto"/>
              <w:jc w:val="center"/>
              <w:rPr>
                <w:rFonts w:hint="default" w:ascii="Times New Roman" w:hAnsi="Times New Roman" w:eastAsia="宋体" w:cs="Times New Roman"/>
                <w:b/>
                <w:bCs/>
                <w:color w:val="000000"/>
                <w:sz w:val="21"/>
                <w:szCs w:val="21"/>
                <w:lang w:eastAsia="zh-CN"/>
              </w:rPr>
            </w:pPr>
            <w:r>
              <w:rPr>
                <w:rFonts w:hint="eastAsia" w:cs="Times New Roman"/>
                <w:b/>
                <w:bCs/>
                <w:color w:val="000000"/>
                <w:sz w:val="21"/>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08" w:type="dxa"/>
            <w:vMerge w:val="continue"/>
            <w:noWrap w:val="0"/>
            <w:vAlign w:val="center"/>
          </w:tcPr>
          <w:p>
            <w:pPr>
              <w:jc w:val="center"/>
              <w:rPr>
                <w:rFonts w:hint="default" w:ascii="Times New Roman" w:hAnsi="Times New Roman" w:eastAsia="宋体" w:cs="Times New Roman"/>
                <w:sz w:val="21"/>
                <w:szCs w:val="21"/>
              </w:rPr>
            </w:pPr>
          </w:p>
        </w:tc>
        <w:tc>
          <w:tcPr>
            <w:tcW w:w="2110" w:type="dxa"/>
            <w:vMerge w:val="continue"/>
            <w:noWrap w:val="0"/>
            <w:vAlign w:val="center"/>
          </w:tcPr>
          <w:p>
            <w:pPr>
              <w:jc w:val="center"/>
              <w:rPr>
                <w:rFonts w:hint="default" w:ascii="Times New Roman" w:hAnsi="Times New Roman" w:eastAsia="宋体" w:cs="Times New Roman"/>
                <w:sz w:val="21"/>
                <w:szCs w:val="21"/>
              </w:rPr>
            </w:pPr>
          </w:p>
        </w:tc>
        <w:tc>
          <w:tcPr>
            <w:tcW w:w="875" w:type="dxa"/>
            <w:noWrap w:val="0"/>
            <w:vAlign w:val="center"/>
          </w:tcPr>
          <w:p>
            <w:pPr>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规范</w:t>
            </w:r>
          </w:p>
          <w:p>
            <w:pPr>
              <w:jc w:val="center"/>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b/>
                <w:sz w:val="21"/>
                <w:szCs w:val="21"/>
              </w:rPr>
              <w:t>要求</w:t>
            </w:r>
          </w:p>
        </w:tc>
        <w:tc>
          <w:tcPr>
            <w:tcW w:w="853" w:type="dxa"/>
            <w:noWrap w:val="0"/>
            <w:vAlign w:val="center"/>
          </w:tcPr>
          <w:p>
            <w:pPr>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实测</w:t>
            </w:r>
          </w:p>
          <w:p>
            <w:pPr>
              <w:jc w:val="center"/>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b/>
                <w:sz w:val="21"/>
                <w:szCs w:val="21"/>
              </w:rPr>
              <w:t>距离</w:t>
            </w:r>
          </w:p>
        </w:tc>
        <w:tc>
          <w:tcPr>
            <w:tcW w:w="3012" w:type="dxa"/>
            <w:vMerge w:val="continue"/>
            <w:noWrap w:val="0"/>
            <w:vAlign w:val="center"/>
          </w:tcPr>
          <w:p>
            <w:pPr>
              <w:jc w:val="center"/>
              <w:rPr>
                <w:rFonts w:hint="default" w:ascii="Times New Roman" w:hAnsi="Times New Roman" w:eastAsia="宋体" w:cs="Times New Roman"/>
                <w:b/>
                <w:sz w:val="21"/>
                <w:szCs w:val="21"/>
              </w:rPr>
            </w:pPr>
          </w:p>
        </w:tc>
        <w:tc>
          <w:tcPr>
            <w:tcW w:w="708" w:type="dxa"/>
            <w:vMerge w:val="continue"/>
            <w:noWrap w:val="0"/>
            <w:vAlign w:val="center"/>
          </w:tcPr>
          <w:p>
            <w:pPr>
              <w:jc w:val="center"/>
              <w:rPr>
                <w:rFonts w:hint="default" w:ascii="Times New Roman" w:hAnsi="Times New Roman" w:eastAsia="宋体" w:cs="Times New Roman"/>
                <w:b/>
                <w:sz w:val="21"/>
                <w:szCs w:val="21"/>
              </w:rPr>
            </w:pPr>
          </w:p>
        </w:tc>
        <w:tc>
          <w:tcPr>
            <w:tcW w:w="1311" w:type="dxa"/>
            <w:vMerge w:val="continue"/>
            <w:noWrap w:val="0"/>
            <w:vAlign w:val="center"/>
          </w:tcPr>
          <w:p>
            <w:pPr>
              <w:jc w:val="center"/>
              <w:rPr>
                <w:rFonts w:hint="default" w:ascii="Times New Roman" w:hAnsi="Times New Roman" w:eastAsia="宋体" w:cs="Times New Roman"/>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8" w:type="dxa"/>
            <w:noWrap w:val="0"/>
            <w:vAlign w:val="center"/>
          </w:tcPr>
          <w:p>
            <w:pPr>
              <w:pStyle w:val="45"/>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c>
          <w:tcPr>
            <w:tcW w:w="2110" w:type="dxa"/>
            <w:noWrap w:val="0"/>
            <w:vAlign w:val="center"/>
          </w:tcPr>
          <w:p>
            <w:pPr>
              <w:pStyle w:val="45"/>
              <w:widowControl w:val="0"/>
              <w:spacing w:line="240" w:lineRule="auto"/>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卧式</w:t>
            </w:r>
            <w:r>
              <w:rPr>
                <w:rFonts w:hint="default" w:ascii="Times New Roman" w:hAnsi="Times New Roman" w:eastAsia="宋体" w:cs="Times New Roman"/>
                <w:sz w:val="21"/>
                <w:szCs w:val="21"/>
                <w:vertAlign w:val="baseline"/>
                <w:lang w:val="en-US" w:eastAsia="zh-CN"/>
              </w:rPr>
              <w:t>糠醛储罐与</w:t>
            </w:r>
            <w:r>
              <w:rPr>
                <w:rFonts w:hint="eastAsia" w:ascii="Times New Roman" w:hAnsi="Times New Roman" w:cs="Times New Roman"/>
                <w:sz w:val="21"/>
                <w:szCs w:val="21"/>
                <w:vertAlign w:val="baseline"/>
                <w:lang w:val="en-US" w:eastAsia="zh-CN"/>
              </w:rPr>
              <w:t>卧式</w:t>
            </w:r>
            <w:r>
              <w:rPr>
                <w:rFonts w:hint="default" w:ascii="Times New Roman" w:hAnsi="Times New Roman" w:eastAsia="宋体" w:cs="Times New Roman"/>
                <w:sz w:val="21"/>
                <w:szCs w:val="21"/>
                <w:vertAlign w:val="baseline"/>
                <w:lang w:val="en-US" w:eastAsia="zh-CN"/>
              </w:rPr>
              <w:t>糠醛储罐</w:t>
            </w:r>
          </w:p>
        </w:tc>
        <w:tc>
          <w:tcPr>
            <w:tcW w:w="875" w:type="dxa"/>
            <w:noWrap w:val="0"/>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sz w:val="21"/>
                <w:szCs w:val="21"/>
              </w:rPr>
              <w:t>≥0.8</w:t>
            </w:r>
          </w:p>
        </w:tc>
        <w:tc>
          <w:tcPr>
            <w:tcW w:w="853" w:type="dxa"/>
            <w:noWrap w:val="0"/>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eastAsia"/>
                <w:sz w:val="21"/>
                <w:szCs w:val="21"/>
              </w:rPr>
              <w:t>＞0.8</w:t>
            </w:r>
          </w:p>
        </w:tc>
        <w:tc>
          <w:tcPr>
            <w:tcW w:w="3012" w:type="dxa"/>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color w:val="000000"/>
                <w:sz w:val="21"/>
                <w:szCs w:val="21"/>
                <w:lang w:eastAsia="zh-CN"/>
              </w:rPr>
              <w:t>第</w:t>
            </w:r>
            <w:r>
              <w:rPr>
                <w:rFonts w:hint="eastAsia" w:ascii="Times New Roman" w:hAnsi="Times New Roman" w:eastAsia="宋体" w:cs="Times New Roman"/>
                <w:color w:val="000000"/>
                <w:sz w:val="21"/>
                <w:szCs w:val="21"/>
                <w:lang w:val="en-US" w:eastAsia="zh-CN"/>
              </w:rPr>
              <w:t>4.2.2</w:t>
            </w:r>
            <w:r>
              <w:rPr>
                <w:rFonts w:hint="eastAsia" w:ascii="Times New Roman" w:hAnsi="Times New Roman" w:eastAsia="宋体" w:cs="Times New Roman"/>
                <w:color w:val="000000"/>
                <w:sz w:val="21"/>
                <w:szCs w:val="21"/>
                <w:lang w:eastAsia="zh-CN"/>
              </w:rPr>
              <w:t>条</w:t>
            </w:r>
          </w:p>
        </w:tc>
        <w:tc>
          <w:tcPr>
            <w:tcW w:w="708" w:type="dxa"/>
            <w:noWrap w:val="0"/>
            <w:vAlign w:val="center"/>
          </w:tcPr>
          <w:p>
            <w:pPr>
              <w:spacing w:line="240" w:lineRule="auto"/>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c>
          <w:tcPr>
            <w:tcW w:w="1311" w:type="dxa"/>
            <w:noWrap w:val="0"/>
            <w:vAlign w:val="center"/>
          </w:tcPr>
          <w:p>
            <w:pPr>
              <w:spacing w:line="240" w:lineRule="auto"/>
              <w:jc w:val="center"/>
              <w:rPr>
                <w:rFonts w:hint="default" w:ascii="Times New Roman" w:hAnsi="Times New Roman" w:eastAsia="宋体" w:cs="Times New Roman"/>
                <w:color w:val="000000"/>
                <w:sz w:val="21"/>
                <w:szCs w:val="21"/>
                <w:lang w:val="en-US" w:eastAsia="zh-CN"/>
              </w:rPr>
            </w:pPr>
          </w:p>
        </w:tc>
      </w:tr>
    </w:tbl>
    <w:p>
      <w:pPr>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outlineLvl w:val="1"/>
        <w:rPr>
          <w:rFonts w:hint="eastAsia" w:ascii="楷体" w:hAnsi="楷体" w:eastAsia="楷体" w:cs="楷体"/>
          <w:b w:val="0"/>
          <w:bCs/>
          <w:kern w:val="2"/>
          <w:sz w:val="32"/>
          <w:szCs w:val="32"/>
          <w:lang w:val="en-US" w:eastAsia="zh-CN" w:bidi="ar-SA"/>
        </w:rPr>
      </w:pPr>
      <w:bookmarkStart w:id="20" w:name="_Toc15664"/>
      <w:bookmarkStart w:id="21" w:name="_Toc23853_WPSOffice_Level2"/>
      <w:bookmarkStart w:id="22" w:name="_Toc532976980"/>
      <w:bookmarkStart w:id="23" w:name="_Toc16995_WPSOffice_Level2"/>
      <w:r>
        <w:rPr>
          <w:rFonts w:hint="eastAsia" w:ascii="楷体" w:hAnsi="楷体" w:eastAsia="楷体" w:cs="楷体"/>
          <w:b w:val="0"/>
          <w:bCs/>
          <w:kern w:val="2"/>
          <w:sz w:val="32"/>
          <w:szCs w:val="32"/>
          <w:lang w:val="en-US" w:eastAsia="zh-CN" w:bidi="ar-SA"/>
        </w:rPr>
        <w:t>自然条件</w:t>
      </w:r>
      <w:bookmarkEnd w:id="20"/>
    </w:p>
    <w:p>
      <w:pPr>
        <w:adjustRightInd w:val="0"/>
        <w:snapToGrid w:val="0"/>
        <w:spacing w:line="360" w:lineRule="auto"/>
        <w:ind w:firstLine="560" w:firstLineChars="200"/>
        <w:rPr>
          <w:sz w:val="28"/>
          <w:szCs w:val="28"/>
        </w:rPr>
      </w:pPr>
      <w:r>
        <w:rPr>
          <w:sz w:val="28"/>
          <w:szCs w:val="28"/>
        </w:rPr>
        <w:t>根据《中国地震烈度区划图》</w:t>
      </w:r>
      <w:r>
        <w:rPr>
          <w:rFonts w:hint="eastAsia" w:ascii="宋体" w:cs="宋体"/>
          <w:color w:val="auto"/>
          <w:sz w:val="28"/>
          <w:szCs w:val="28"/>
        </w:rPr>
        <w:t>及《建筑抗震设计规范（2016年版）》（GB50011-2010）</w:t>
      </w:r>
      <w:r>
        <w:rPr>
          <w:sz w:val="28"/>
          <w:szCs w:val="28"/>
        </w:rPr>
        <w:t>，黑山鸿泰化工有限公司所在地区</w:t>
      </w:r>
      <w:r>
        <w:rPr>
          <w:rFonts w:hint="eastAsia"/>
          <w:sz w:val="28"/>
          <w:szCs w:val="28"/>
        </w:rPr>
        <w:t>抗震设防烈度</w:t>
      </w:r>
      <w:r>
        <w:rPr>
          <w:sz w:val="28"/>
          <w:szCs w:val="28"/>
        </w:rPr>
        <w:t>为</w:t>
      </w:r>
      <w:r>
        <w:rPr>
          <w:rFonts w:hint="eastAsia"/>
          <w:sz w:val="28"/>
          <w:szCs w:val="28"/>
        </w:rPr>
        <w:t>6</w:t>
      </w:r>
      <w:r>
        <w:rPr>
          <w:sz w:val="28"/>
          <w:szCs w:val="28"/>
        </w:rPr>
        <w:t>度。</w:t>
      </w:r>
    </w:p>
    <w:p>
      <w:pPr>
        <w:snapToGrid w:val="0"/>
        <w:spacing w:line="360" w:lineRule="auto"/>
        <w:ind w:firstLine="560" w:firstLineChars="200"/>
        <w:rPr>
          <w:sz w:val="28"/>
        </w:rPr>
      </w:pPr>
      <w:r>
        <w:rPr>
          <w:rFonts w:hint="eastAsia"/>
          <w:sz w:val="28"/>
        </w:rPr>
        <w:t>1</w:t>
      </w:r>
      <w:r>
        <w:rPr>
          <w:rFonts w:hint="eastAsia"/>
          <w:sz w:val="28"/>
          <w:lang w:eastAsia="zh-CN"/>
        </w:rPr>
        <w:t>、</w:t>
      </w:r>
      <w:r>
        <w:rPr>
          <w:sz w:val="28"/>
        </w:rPr>
        <w:t>地形、地质条件</w:t>
      </w:r>
    </w:p>
    <w:p>
      <w:pPr>
        <w:adjustRightInd w:val="0"/>
        <w:snapToGrid w:val="0"/>
        <w:spacing w:line="360" w:lineRule="auto"/>
        <w:ind w:firstLine="560" w:firstLineChars="200"/>
        <w:rPr>
          <w:rFonts w:hint="eastAsia"/>
          <w:color w:val="000000"/>
          <w:kern w:val="0"/>
          <w:sz w:val="28"/>
          <w:szCs w:val="28"/>
        </w:rPr>
      </w:pPr>
      <w:r>
        <w:rPr>
          <w:rFonts w:hint="eastAsia" w:ascii="??" w:hAnsi="??"/>
          <w:sz w:val="28"/>
          <w:szCs w:val="28"/>
        </w:rPr>
        <w:t>黑山县地质构造上属辽河三角洲平原的一部分，全境处于长期缓慢下降作用为主的辽河三角洲平原中断陷中央拗陷期东部。1.4亿年以来,这里积累了厚达6000多米的沉积物,从古生界开始，以上覆盖有层次清晰的</w:t>
      </w:r>
      <w:r>
        <w:rPr>
          <w:rFonts w:ascii="??" w:hAnsi="??"/>
          <w:sz w:val="28"/>
          <w:szCs w:val="28"/>
        </w:rPr>
        <w:fldChar w:fldCharType="begin"/>
      </w:r>
      <w:r>
        <w:rPr>
          <w:rFonts w:ascii="??" w:hAnsi="??"/>
          <w:sz w:val="28"/>
          <w:szCs w:val="28"/>
        </w:rPr>
        <w:instrText xml:space="preserve"> HYPERLINK "http://www.baike.com/wiki/%E4%BE%8F%E7%BD%97%E7%B3%BB" \o "侏罗系" </w:instrText>
      </w:r>
      <w:r>
        <w:rPr>
          <w:rFonts w:ascii="??" w:hAnsi="??"/>
          <w:sz w:val="28"/>
          <w:szCs w:val="28"/>
        </w:rPr>
        <w:fldChar w:fldCharType="separate"/>
      </w:r>
      <w:r>
        <w:rPr>
          <w:rFonts w:hint="eastAsia" w:ascii="??" w:hAnsi="??"/>
          <w:sz w:val="28"/>
          <w:szCs w:val="28"/>
        </w:rPr>
        <w:t>侏罗系</w:t>
      </w:r>
      <w:r>
        <w:rPr>
          <w:rFonts w:ascii="??" w:hAnsi="??"/>
          <w:sz w:val="28"/>
          <w:szCs w:val="28"/>
        </w:rPr>
        <w:fldChar w:fldCharType="end"/>
      </w:r>
      <w:r>
        <w:rPr>
          <w:rFonts w:hint="eastAsia" w:ascii="??" w:hAnsi="??"/>
          <w:sz w:val="28"/>
          <w:szCs w:val="28"/>
        </w:rPr>
        <w:t>、白垩系、第三系和第四系岩层。主要地质岩层由新到老可分为：第四系全新统淤泥质亚粘土及砂砾石，上更新统黄土状亚粘土、淤泥质亚粘土、细粉砂、沙砾石，中下更新统林甸组、荒山组亚粘土夹砂砾石及</w:t>
      </w:r>
      <w:r>
        <w:rPr>
          <w:rFonts w:ascii="??" w:hAnsi="??"/>
          <w:sz w:val="28"/>
          <w:szCs w:val="28"/>
        </w:rPr>
        <w:fldChar w:fldCharType="begin"/>
      </w:r>
      <w:r>
        <w:rPr>
          <w:rFonts w:ascii="??" w:hAnsi="??"/>
          <w:sz w:val="28"/>
          <w:szCs w:val="28"/>
        </w:rPr>
        <w:instrText xml:space="preserve"> HYPERLINK "http://www.baike.com/wiki/%E7%A0%82%E7%A0%BE%E7%9F%B3" \t "_blank" \o "砂砾石" </w:instrText>
      </w:r>
      <w:r>
        <w:rPr>
          <w:rFonts w:ascii="??" w:hAnsi="??"/>
          <w:sz w:val="28"/>
          <w:szCs w:val="28"/>
        </w:rPr>
        <w:fldChar w:fldCharType="separate"/>
      </w:r>
      <w:r>
        <w:rPr>
          <w:rFonts w:hint="eastAsia" w:ascii="??" w:hAnsi="??"/>
          <w:sz w:val="28"/>
          <w:szCs w:val="28"/>
        </w:rPr>
        <w:t>砂砾石</w:t>
      </w:r>
      <w:r>
        <w:rPr>
          <w:rFonts w:ascii="??" w:hAnsi="??"/>
          <w:sz w:val="28"/>
          <w:szCs w:val="28"/>
        </w:rPr>
        <w:fldChar w:fldCharType="end"/>
      </w:r>
      <w:r>
        <w:rPr>
          <w:rFonts w:hint="eastAsia" w:ascii="??" w:hAnsi="??"/>
          <w:sz w:val="28"/>
          <w:szCs w:val="28"/>
        </w:rPr>
        <w:t>；第三系渐新统依安排组泥岩、砂质泥岩及砂岩;</w:t>
      </w:r>
      <w:r>
        <w:rPr>
          <w:rFonts w:ascii="??" w:hAnsi="??"/>
          <w:sz w:val="28"/>
          <w:szCs w:val="28"/>
        </w:rPr>
        <w:fldChar w:fldCharType="begin"/>
      </w:r>
      <w:r>
        <w:rPr>
          <w:rFonts w:ascii="??" w:hAnsi="??"/>
          <w:sz w:val="28"/>
          <w:szCs w:val="28"/>
        </w:rPr>
        <w:instrText xml:space="preserve"> HYPERLINK "http://www.baike.com/wiki/%E7%99%BD%E5%9E%A9%E7%B3%BB" \o "白垩系" </w:instrText>
      </w:r>
      <w:r>
        <w:rPr>
          <w:rFonts w:ascii="??" w:hAnsi="??"/>
          <w:sz w:val="28"/>
          <w:szCs w:val="28"/>
        </w:rPr>
        <w:fldChar w:fldCharType="separate"/>
      </w:r>
      <w:r>
        <w:rPr>
          <w:rFonts w:hint="eastAsia" w:ascii="??" w:hAnsi="??"/>
          <w:sz w:val="28"/>
          <w:szCs w:val="28"/>
        </w:rPr>
        <w:t>白垩系</w:t>
      </w:r>
      <w:r>
        <w:rPr>
          <w:rFonts w:ascii="??" w:hAnsi="??"/>
          <w:sz w:val="28"/>
          <w:szCs w:val="28"/>
        </w:rPr>
        <w:fldChar w:fldCharType="end"/>
      </w:r>
      <w:r>
        <w:rPr>
          <w:rFonts w:hint="eastAsia" w:ascii="??" w:hAnsi="??"/>
          <w:sz w:val="28"/>
          <w:szCs w:val="28"/>
        </w:rPr>
        <w:t>上统明水组泥岩、泥页岩、砂质泥岩、砂岩及砂砾岩</w:t>
      </w:r>
      <w:r>
        <w:rPr>
          <w:rFonts w:hint="eastAsia"/>
          <w:color w:val="000000"/>
          <w:kern w:val="0"/>
          <w:sz w:val="28"/>
          <w:szCs w:val="28"/>
        </w:rPr>
        <w:t>。</w:t>
      </w:r>
    </w:p>
    <w:p>
      <w:pPr>
        <w:snapToGrid w:val="0"/>
        <w:spacing w:line="360" w:lineRule="auto"/>
        <w:ind w:firstLine="560" w:firstLineChars="200"/>
        <w:rPr>
          <w:sz w:val="28"/>
        </w:rPr>
      </w:pPr>
      <w:r>
        <w:rPr>
          <w:rFonts w:hint="eastAsia"/>
          <w:sz w:val="28"/>
        </w:rPr>
        <w:t>2</w:t>
      </w:r>
      <w:r>
        <w:rPr>
          <w:rFonts w:hint="eastAsia"/>
          <w:sz w:val="28"/>
          <w:lang w:eastAsia="zh-CN"/>
        </w:rPr>
        <w:t>、</w:t>
      </w:r>
      <w:r>
        <w:rPr>
          <w:sz w:val="28"/>
        </w:rPr>
        <w:t>气象条件</w:t>
      </w:r>
    </w:p>
    <w:p>
      <w:pPr>
        <w:adjustRightInd w:val="0"/>
        <w:snapToGrid w:val="0"/>
        <w:spacing w:line="360" w:lineRule="auto"/>
        <w:ind w:firstLine="560" w:firstLineChars="200"/>
        <w:rPr>
          <w:rFonts w:hint="eastAsia" w:ascii="??" w:hAnsi="??"/>
          <w:sz w:val="28"/>
          <w:szCs w:val="28"/>
        </w:rPr>
      </w:pPr>
      <w:r>
        <w:rPr>
          <w:rFonts w:hint="eastAsia" w:ascii="??" w:hAnsi="??"/>
          <w:sz w:val="28"/>
          <w:szCs w:val="28"/>
        </w:rPr>
        <w:t>黑山县</w:t>
      </w:r>
      <w:r>
        <w:rPr>
          <w:rFonts w:ascii="??" w:hAnsi="??"/>
          <w:sz w:val="28"/>
          <w:szCs w:val="28"/>
        </w:rPr>
        <w:t>地处温带，为暖</w:t>
      </w:r>
      <w:r>
        <w:rPr>
          <w:rFonts w:ascii="??" w:hAnsi="??"/>
          <w:sz w:val="28"/>
          <w:szCs w:val="28"/>
        </w:rPr>
        <w:fldChar w:fldCharType="begin"/>
      </w:r>
      <w:r>
        <w:rPr>
          <w:rFonts w:ascii="??" w:hAnsi="??"/>
          <w:sz w:val="28"/>
          <w:szCs w:val="28"/>
        </w:rPr>
        <w:instrText xml:space="preserve"> HYPERLINK "http://zhidao.baidu.com/search?word=%E6%B8%A9%E5%B8%A6%E5%AD%A3%E9%A3%8E%E6%B0%94%E5%80%99&amp;fr=qb_search_exp&amp;ie=utf8" \t "_blank" </w:instrText>
      </w:r>
      <w:r>
        <w:rPr>
          <w:rFonts w:ascii="??" w:hAnsi="??"/>
          <w:sz w:val="28"/>
          <w:szCs w:val="28"/>
        </w:rPr>
        <w:fldChar w:fldCharType="separate"/>
      </w:r>
      <w:r>
        <w:rPr>
          <w:rFonts w:ascii="??" w:hAnsi="??"/>
          <w:sz w:val="28"/>
          <w:szCs w:val="28"/>
        </w:rPr>
        <w:t>温带季风气候</w:t>
      </w:r>
      <w:r>
        <w:rPr>
          <w:rFonts w:ascii="??" w:hAnsi="??"/>
          <w:sz w:val="28"/>
          <w:szCs w:val="28"/>
        </w:rPr>
        <w:fldChar w:fldCharType="end"/>
      </w:r>
      <w:r>
        <w:rPr>
          <w:rFonts w:ascii="??" w:hAnsi="??"/>
          <w:sz w:val="28"/>
          <w:szCs w:val="28"/>
        </w:rPr>
        <w:t>，四季分明，</w:t>
      </w:r>
      <w:r>
        <w:rPr>
          <w:rFonts w:ascii="??" w:hAnsi="??"/>
          <w:sz w:val="28"/>
          <w:szCs w:val="28"/>
        </w:rPr>
        <w:fldChar w:fldCharType="begin"/>
      </w:r>
      <w:r>
        <w:rPr>
          <w:rFonts w:ascii="??" w:hAnsi="??"/>
          <w:sz w:val="28"/>
          <w:szCs w:val="28"/>
        </w:rPr>
        <w:instrText xml:space="preserve"> HYPERLINK "http://zhidao.baidu.com/search?word=%E9%9B%A8%E9%87%8F&amp;fr=qb_search_exp&amp;ie=utf8" \t "_blank" </w:instrText>
      </w:r>
      <w:r>
        <w:rPr>
          <w:rFonts w:ascii="??" w:hAnsi="??"/>
          <w:sz w:val="28"/>
          <w:szCs w:val="28"/>
        </w:rPr>
        <w:fldChar w:fldCharType="separate"/>
      </w:r>
      <w:r>
        <w:rPr>
          <w:rFonts w:ascii="??" w:hAnsi="??"/>
          <w:sz w:val="28"/>
          <w:szCs w:val="28"/>
        </w:rPr>
        <w:t>雨量</w:t>
      </w:r>
      <w:r>
        <w:rPr>
          <w:rFonts w:ascii="??" w:hAnsi="??"/>
          <w:sz w:val="28"/>
          <w:szCs w:val="28"/>
        </w:rPr>
        <w:fldChar w:fldCharType="end"/>
      </w:r>
      <w:r>
        <w:rPr>
          <w:rFonts w:ascii="??" w:hAnsi="??"/>
          <w:sz w:val="28"/>
          <w:szCs w:val="28"/>
        </w:rPr>
        <w:t>适中，</w:t>
      </w:r>
      <w:r>
        <w:rPr>
          <w:rFonts w:ascii="??" w:hAnsi="??"/>
          <w:sz w:val="28"/>
          <w:szCs w:val="28"/>
        </w:rPr>
        <w:fldChar w:fldCharType="begin"/>
      </w:r>
      <w:r>
        <w:rPr>
          <w:rFonts w:ascii="??" w:hAnsi="??"/>
          <w:sz w:val="28"/>
          <w:szCs w:val="28"/>
        </w:rPr>
        <w:instrText xml:space="preserve"> HYPERLINK "http://zhidao.baidu.com/search?word=%E6%B5%B7%E9%99%86&amp;fr=qb_search_exp&amp;ie=utf8" \t "_blank" </w:instrText>
      </w:r>
      <w:r>
        <w:rPr>
          <w:rFonts w:ascii="??" w:hAnsi="??"/>
          <w:sz w:val="28"/>
          <w:szCs w:val="28"/>
        </w:rPr>
        <w:fldChar w:fldCharType="separate"/>
      </w:r>
      <w:r>
        <w:rPr>
          <w:rFonts w:ascii="??" w:hAnsi="??"/>
          <w:sz w:val="28"/>
          <w:szCs w:val="28"/>
        </w:rPr>
        <w:t>海陆</w:t>
      </w:r>
      <w:r>
        <w:rPr>
          <w:rFonts w:ascii="??" w:hAnsi="??"/>
          <w:sz w:val="28"/>
          <w:szCs w:val="28"/>
        </w:rPr>
        <w:fldChar w:fldCharType="end"/>
      </w:r>
      <w:r>
        <w:rPr>
          <w:rFonts w:ascii="??" w:hAnsi="??"/>
          <w:sz w:val="28"/>
          <w:szCs w:val="28"/>
        </w:rPr>
        <w:t>气候兼而有之。年平均气温8.9</w:t>
      </w:r>
      <w:r>
        <w:rPr>
          <w:rFonts w:hint="eastAsia" w:ascii="??" w:hAnsi="??"/>
          <w:sz w:val="28"/>
          <w:szCs w:val="28"/>
        </w:rPr>
        <w:t>℃</w:t>
      </w:r>
      <w:r>
        <w:rPr>
          <w:rFonts w:ascii="??" w:hAnsi="??"/>
          <w:sz w:val="28"/>
          <w:szCs w:val="28"/>
        </w:rPr>
        <w:t>，1月平均气温-14.5</w:t>
      </w:r>
      <w:r>
        <w:rPr>
          <w:rFonts w:hint="eastAsia" w:ascii="??" w:hAnsi="??"/>
          <w:sz w:val="28"/>
          <w:szCs w:val="28"/>
        </w:rPr>
        <w:t>℃</w:t>
      </w:r>
      <w:r>
        <w:rPr>
          <w:rFonts w:ascii="??" w:hAnsi="??"/>
          <w:sz w:val="28"/>
          <w:szCs w:val="28"/>
        </w:rPr>
        <w:t>，7月平均气温28.5</w:t>
      </w:r>
      <w:r>
        <w:rPr>
          <w:rFonts w:hint="eastAsia" w:ascii="??" w:hAnsi="??"/>
          <w:sz w:val="28"/>
          <w:szCs w:val="28"/>
        </w:rPr>
        <w:t>℃</w:t>
      </w:r>
      <w:r>
        <w:rPr>
          <w:rFonts w:ascii="??" w:hAnsi="??"/>
          <w:sz w:val="28"/>
          <w:szCs w:val="28"/>
        </w:rPr>
        <w:t>，极端最低气温-27.3</w:t>
      </w:r>
      <w:r>
        <w:rPr>
          <w:rFonts w:hint="eastAsia" w:ascii="??" w:hAnsi="??"/>
          <w:sz w:val="28"/>
          <w:szCs w:val="28"/>
        </w:rPr>
        <w:t>℃</w:t>
      </w:r>
      <w:r>
        <w:rPr>
          <w:rFonts w:ascii="??" w:hAnsi="??"/>
          <w:sz w:val="28"/>
          <w:szCs w:val="28"/>
        </w:rPr>
        <w:t>，极端最高气温35.3</w:t>
      </w:r>
      <w:r>
        <w:rPr>
          <w:rFonts w:hint="eastAsia" w:ascii="??" w:hAnsi="??"/>
          <w:sz w:val="28"/>
          <w:szCs w:val="28"/>
        </w:rPr>
        <w:t>℃</w:t>
      </w:r>
      <w:r>
        <w:rPr>
          <w:rFonts w:ascii="??" w:hAnsi="??"/>
          <w:sz w:val="28"/>
          <w:szCs w:val="28"/>
        </w:rPr>
        <w:t>；年平均</w:t>
      </w:r>
      <w:r>
        <w:rPr>
          <w:rFonts w:ascii="??" w:hAnsi="??"/>
          <w:sz w:val="28"/>
          <w:szCs w:val="28"/>
        </w:rPr>
        <w:fldChar w:fldCharType="begin"/>
      </w:r>
      <w:r>
        <w:rPr>
          <w:rFonts w:ascii="??" w:hAnsi="??"/>
          <w:sz w:val="28"/>
          <w:szCs w:val="28"/>
        </w:rPr>
        <w:instrText xml:space="preserve"> HYPERLINK "http://zhidao.baidu.com/search?word=%E9%99%8D%E6%B0%B4%E9%87%8F&amp;fr=qb_search_exp&amp;ie=utf8" \t "_blank" </w:instrText>
      </w:r>
      <w:r>
        <w:rPr>
          <w:rFonts w:ascii="??" w:hAnsi="??"/>
          <w:sz w:val="28"/>
          <w:szCs w:val="28"/>
        </w:rPr>
        <w:fldChar w:fldCharType="separate"/>
      </w:r>
      <w:r>
        <w:rPr>
          <w:rFonts w:ascii="??" w:hAnsi="??"/>
          <w:sz w:val="28"/>
          <w:szCs w:val="28"/>
        </w:rPr>
        <w:t>降水量</w:t>
      </w:r>
      <w:r>
        <w:rPr>
          <w:rFonts w:ascii="??" w:hAnsi="??"/>
          <w:sz w:val="28"/>
          <w:szCs w:val="28"/>
        </w:rPr>
        <w:fldChar w:fldCharType="end"/>
      </w:r>
      <w:r>
        <w:rPr>
          <w:rFonts w:ascii="??" w:hAnsi="??"/>
          <w:sz w:val="28"/>
          <w:szCs w:val="28"/>
        </w:rPr>
        <w:t>695mm，</w:t>
      </w:r>
      <w:r>
        <w:rPr>
          <w:rFonts w:ascii="??" w:hAnsi="??"/>
          <w:sz w:val="28"/>
          <w:szCs w:val="28"/>
        </w:rPr>
        <w:fldChar w:fldCharType="begin"/>
      </w:r>
      <w:r>
        <w:rPr>
          <w:rFonts w:ascii="??" w:hAnsi="??"/>
          <w:sz w:val="28"/>
          <w:szCs w:val="28"/>
        </w:rPr>
        <w:instrText xml:space="preserve"> HYPERLINK "http://zhidao.baidu.com/search?word=%E6%97%A0%E9%9C%9C%E6%9C%9F&amp;fr=qb_search_exp&amp;ie=utf8" \t "_blank" </w:instrText>
      </w:r>
      <w:r>
        <w:rPr>
          <w:rFonts w:ascii="??" w:hAnsi="??"/>
          <w:sz w:val="28"/>
          <w:szCs w:val="28"/>
        </w:rPr>
        <w:fldChar w:fldCharType="separate"/>
      </w:r>
      <w:r>
        <w:rPr>
          <w:rFonts w:ascii="??" w:hAnsi="??"/>
          <w:sz w:val="28"/>
          <w:szCs w:val="28"/>
        </w:rPr>
        <w:t>无霜期</w:t>
      </w:r>
      <w:r>
        <w:rPr>
          <w:rFonts w:ascii="??" w:hAnsi="??"/>
          <w:sz w:val="28"/>
          <w:szCs w:val="28"/>
        </w:rPr>
        <w:fldChar w:fldCharType="end"/>
      </w:r>
      <w:r>
        <w:rPr>
          <w:rFonts w:ascii="??" w:hAnsi="??"/>
          <w:sz w:val="28"/>
          <w:szCs w:val="28"/>
        </w:rPr>
        <w:t>160天；土壤冻结日11月4日，化冻日4月8日，最大</w:t>
      </w:r>
      <w:r>
        <w:rPr>
          <w:rFonts w:ascii="??" w:hAnsi="??"/>
          <w:sz w:val="28"/>
          <w:szCs w:val="28"/>
        </w:rPr>
        <w:fldChar w:fldCharType="begin"/>
      </w:r>
      <w:r>
        <w:rPr>
          <w:rFonts w:ascii="??" w:hAnsi="??"/>
          <w:sz w:val="28"/>
          <w:szCs w:val="28"/>
        </w:rPr>
        <w:instrText xml:space="preserve"> HYPERLINK "http://zhidao.baidu.com/search?word=%E5%86%BB%E5%9C%9F&amp;fr=qb_search_exp&amp;ie=utf8" \t "_blank" </w:instrText>
      </w:r>
      <w:r>
        <w:rPr>
          <w:rFonts w:ascii="??" w:hAnsi="??"/>
          <w:sz w:val="28"/>
          <w:szCs w:val="28"/>
        </w:rPr>
        <w:fldChar w:fldCharType="separate"/>
      </w:r>
      <w:r>
        <w:rPr>
          <w:rFonts w:ascii="??" w:hAnsi="??"/>
          <w:sz w:val="28"/>
          <w:szCs w:val="28"/>
        </w:rPr>
        <w:t>冻土</w:t>
      </w:r>
      <w:r>
        <w:rPr>
          <w:rFonts w:ascii="??" w:hAnsi="??"/>
          <w:sz w:val="28"/>
          <w:szCs w:val="28"/>
        </w:rPr>
        <w:fldChar w:fldCharType="end"/>
      </w:r>
      <w:r>
        <w:rPr>
          <w:rFonts w:ascii="??" w:hAnsi="??"/>
          <w:sz w:val="28"/>
          <w:szCs w:val="28"/>
        </w:rPr>
        <w:t>深度111cm；</w:t>
      </w:r>
      <w:r>
        <w:rPr>
          <w:rFonts w:ascii="??" w:hAnsi="??"/>
          <w:sz w:val="28"/>
          <w:szCs w:val="28"/>
        </w:rPr>
        <w:fldChar w:fldCharType="begin"/>
      </w:r>
      <w:r>
        <w:rPr>
          <w:rFonts w:ascii="??" w:hAnsi="??"/>
          <w:sz w:val="28"/>
          <w:szCs w:val="28"/>
        </w:rPr>
        <w:instrText xml:space="preserve"> HYPERLINK "http://zhidao.baidu.com/search?word=%E7%9B%B8%E5%AF%B9%E6%B9%BF%E5%BA%A6&amp;fr=qb_search_exp&amp;ie=utf8" \t "_blank" </w:instrText>
      </w:r>
      <w:r>
        <w:rPr>
          <w:rFonts w:ascii="??" w:hAnsi="??"/>
          <w:sz w:val="28"/>
          <w:szCs w:val="28"/>
        </w:rPr>
        <w:fldChar w:fldCharType="separate"/>
      </w:r>
      <w:r>
        <w:rPr>
          <w:rFonts w:ascii="??" w:hAnsi="??"/>
          <w:sz w:val="28"/>
          <w:szCs w:val="28"/>
        </w:rPr>
        <w:t>相对湿度</w:t>
      </w:r>
      <w:r>
        <w:rPr>
          <w:rFonts w:ascii="??" w:hAnsi="??"/>
          <w:sz w:val="28"/>
          <w:szCs w:val="28"/>
        </w:rPr>
        <w:fldChar w:fldCharType="end"/>
      </w:r>
      <w:r>
        <w:rPr>
          <w:rFonts w:ascii="??" w:hAnsi="??"/>
          <w:sz w:val="28"/>
          <w:szCs w:val="28"/>
        </w:rPr>
        <w:t>65%以上；年</w:t>
      </w:r>
      <w:r>
        <w:rPr>
          <w:rFonts w:ascii="??" w:hAnsi="??"/>
          <w:sz w:val="28"/>
          <w:szCs w:val="28"/>
        </w:rPr>
        <w:fldChar w:fldCharType="begin"/>
      </w:r>
      <w:r>
        <w:rPr>
          <w:rFonts w:ascii="??" w:hAnsi="??"/>
          <w:sz w:val="28"/>
          <w:szCs w:val="28"/>
        </w:rPr>
        <w:instrText xml:space="preserve"> HYPERLINK "http://zhidao.baidu.com/search?word=%E8%92%B8%E5%8F%91%E9%87%8F&amp;fr=qb_search_exp&amp;ie=utf8" \t "_blank" </w:instrText>
      </w:r>
      <w:r>
        <w:rPr>
          <w:rFonts w:ascii="??" w:hAnsi="??"/>
          <w:sz w:val="28"/>
          <w:szCs w:val="28"/>
        </w:rPr>
        <w:fldChar w:fldCharType="separate"/>
      </w:r>
      <w:r>
        <w:rPr>
          <w:rFonts w:ascii="??" w:hAnsi="??"/>
          <w:sz w:val="28"/>
          <w:szCs w:val="28"/>
        </w:rPr>
        <w:t>蒸发量</w:t>
      </w:r>
      <w:r>
        <w:rPr>
          <w:rFonts w:ascii="??" w:hAnsi="??"/>
          <w:sz w:val="28"/>
          <w:szCs w:val="28"/>
        </w:rPr>
        <w:fldChar w:fldCharType="end"/>
      </w:r>
      <w:r>
        <w:rPr>
          <w:rFonts w:ascii="??" w:hAnsi="??"/>
          <w:sz w:val="28"/>
          <w:szCs w:val="28"/>
        </w:rPr>
        <w:t>1500</w:t>
      </w:r>
      <w:r>
        <w:rPr>
          <w:rFonts w:hint="eastAsia" w:ascii="??" w:hAnsi="??"/>
          <w:sz w:val="28"/>
          <w:szCs w:val="28"/>
        </w:rPr>
        <w:t>-</w:t>
      </w:r>
      <w:r>
        <w:rPr>
          <w:rFonts w:ascii="??" w:hAnsi="??"/>
          <w:sz w:val="28"/>
          <w:szCs w:val="28"/>
        </w:rPr>
        <w:t>1900mm。</w:t>
      </w:r>
    </w:p>
    <w:p>
      <w:pPr>
        <w:adjustRightInd w:val="0"/>
        <w:snapToGrid w:val="0"/>
        <w:spacing w:line="360" w:lineRule="auto"/>
        <w:ind w:firstLine="560" w:firstLineChars="200"/>
        <w:rPr>
          <w:sz w:val="28"/>
          <w:szCs w:val="28"/>
        </w:rPr>
      </w:pPr>
      <w:r>
        <w:rPr>
          <w:bCs/>
          <w:sz w:val="28"/>
          <w:szCs w:val="28"/>
        </w:rPr>
        <w:t>（1）气温</w:t>
      </w:r>
    </w:p>
    <w:p>
      <w:pPr>
        <w:adjustRightInd w:val="0"/>
        <w:snapToGrid w:val="0"/>
        <w:spacing w:line="360" w:lineRule="auto"/>
        <w:ind w:firstLine="2520" w:firstLineChars="900"/>
        <w:rPr>
          <w:bCs/>
          <w:sz w:val="28"/>
          <w:szCs w:val="28"/>
        </w:rPr>
      </w:pPr>
      <w:r>
        <w:rPr>
          <w:bCs/>
          <w:sz w:val="28"/>
          <w:szCs w:val="28"/>
        </w:rPr>
        <w:t>年平均气温0-6度</w:t>
      </w:r>
    </w:p>
    <w:p>
      <w:pPr>
        <w:adjustRightInd w:val="0"/>
        <w:snapToGrid w:val="0"/>
        <w:spacing w:line="360" w:lineRule="auto"/>
        <w:ind w:firstLine="2520" w:firstLineChars="900"/>
        <w:rPr>
          <w:bCs/>
          <w:sz w:val="28"/>
          <w:szCs w:val="28"/>
        </w:rPr>
      </w:pPr>
      <w:r>
        <w:rPr>
          <w:bCs/>
          <w:sz w:val="28"/>
          <w:szCs w:val="28"/>
        </w:rPr>
        <w:t>日照时数3000小时左右</w:t>
      </w:r>
    </w:p>
    <w:p>
      <w:pPr>
        <w:adjustRightInd w:val="0"/>
        <w:snapToGrid w:val="0"/>
        <w:spacing w:line="360" w:lineRule="auto"/>
        <w:ind w:firstLine="2520" w:firstLineChars="900"/>
        <w:rPr>
          <w:bCs/>
          <w:sz w:val="28"/>
          <w:szCs w:val="28"/>
        </w:rPr>
      </w:pPr>
      <w:r>
        <w:rPr>
          <w:bCs/>
          <w:sz w:val="28"/>
          <w:szCs w:val="28"/>
        </w:rPr>
        <w:t>极端最高气温</w:t>
      </w:r>
      <w:r>
        <w:rPr>
          <w:rFonts w:hint="eastAsia"/>
          <w:bCs/>
          <w:sz w:val="28"/>
          <w:szCs w:val="28"/>
        </w:rPr>
        <w:t>41.6</w:t>
      </w:r>
      <w:r>
        <w:rPr>
          <w:bCs/>
          <w:sz w:val="28"/>
          <w:szCs w:val="28"/>
        </w:rPr>
        <w:t>度</w:t>
      </w:r>
    </w:p>
    <w:p>
      <w:pPr>
        <w:adjustRightInd w:val="0"/>
        <w:snapToGrid w:val="0"/>
        <w:spacing w:line="360" w:lineRule="auto"/>
        <w:ind w:firstLine="2520" w:firstLineChars="900"/>
        <w:rPr>
          <w:bCs/>
          <w:sz w:val="28"/>
          <w:szCs w:val="28"/>
        </w:rPr>
      </w:pPr>
      <w:r>
        <w:rPr>
          <w:bCs/>
          <w:sz w:val="28"/>
          <w:szCs w:val="28"/>
        </w:rPr>
        <w:t>极端最低气温-31.6度</w:t>
      </w:r>
    </w:p>
    <w:p>
      <w:pPr>
        <w:adjustRightInd w:val="0"/>
        <w:snapToGrid w:val="0"/>
        <w:spacing w:line="360" w:lineRule="auto"/>
        <w:ind w:firstLine="2520" w:firstLineChars="900"/>
        <w:rPr>
          <w:bCs/>
          <w:sz w:val="28"/>
          <w:szCs w:val="28"/>
        </w:rPr>
      </w:pPr>
      <w:r>
        <w:rPr>
          <w:bCs/>
          <w:sz w:val="28"/>
          <w:szCs w:val="28"/>
        </w:rPr>
        <w:t>最热月平均气温23至24度</w:t>
      </w:r>
    </w:p>
    <w:p>
      <w:pPr>
        <w:adjustRightInd w:val="0"/>
        <w:snapToGrid w:val="0"/>
        <w:spacing w:line="360" w:lineRule="auto"/>
        <w:ind w:firstLine="2520" w:firstLineChars="900"/>
        <w:rPr>
          <w:bCs/>
          <w:sz w:val="28"/>
          <w:szCs w:val="28"/>
        </w:rPr>
      </w:pPr>
      <w:r>
        <w:rPr>
          <w:bCs/>
          <w:sz w:val="28"/>
          <w:szCs w:val="28"/>
        </w:rPr>
        <w:t>最冷月平均气温-14.5度</w:t>
      </w:r>
    </w:p>
    <w:p>
      <w:pPr>
        <w:adjustRightInd w:val="0"/>
        <w:snapToGrid w:val="0"/>
        <w:spacing w:line="360" w:lineRule="auto"/>
        <w:ind w:firstLine="560" w:firstLineChars="200"/>
        <w:rPr>
          <w:bCs/>
          <w:sz w:val="28"/>
          <w:szCs w:val="28"/>
        </w:rPr>
      </w:pPr>
      <w:r>
        <w:rPr>
          <w:bCs/>
          <w:sz w:val="28"/>
          <w:szCs w:val="28"/>
        </w:rPr>
        <w:t>（2）相对湿度</w:t>
      </w:r>
    </w:p>
    <w:p>
      <w:pPr>
        <w:adjustRightInd w:val="0"/>
        <w:snapToGrid w:val="0"/>
        <w:spacing w:line="360" w:lineRule="auto"/>
        <w:ind w:firstLine="2520" w:firstLineChars="900"/>
        <w:rPr>
          <w:bCs/>
          <w:sz w:val="28"/>
          <w:szCs w:val="28"/>
        </w:rPr>
      </w:pPr>
      <w:r>
        <w:rPr>
          <w:bCs/>
          <w:sz w:val="28"/>
          <w:szCs w:val="28"/>
        </w:rPr>
        <w:t>冬季平均相对湿度        53%左右</w:t>
      </w:r>
    </w:p>
    <w:p>
      <w:pPr>
        <w:adjustRightInd w:val="0"/>
        <w:snapToGrid w:val="0"/>
        <w:spacing w:line="360" w:lineRule="auto"/>
        <w:ind w:firstLine="2520" w:firstLineChars="900"/>
        <w:rPr>
          <w:bCs/>
          <w:sz w:val="28"/>
          <w:szCs w:val="28"/>
        </w:rPr>
      </w:pPr>
      <w:r>
        <w:rPr>
          <w:bCs/>
          <w:sz w:val="28"/>
          <w:szCs w:val="28"/>
        </w:rPr>
        <w:t>夏季平均相对湿度        69%以上</w:t>
      </w:r>
    </w:p>
    <w:p>
      <w:pPr>
        <w:adjustRightInd w:val="0"/>
        <w:snapToGrid w:val="0"/>
        <w:spacing w:line="360" w:lineRule="auto"/>
        <w:ind w:firstLine="560" w:firstLineChars="200"/>
        <w:rPr>
          <w:bCs/>
          <w:sz w:val="28"/>
          <w:szCs w:val="28"/>
        </w:rPr>
      </w:pPr>
      <w:r>
        <w:rPr>
          <w:bCs/>
          <w:sz w:val="28"/>
          <w:szCs w:val="28"/>
        </w:rPr>
        <w:t>（3）气压</w:t>
      </w:r>
    </w:p>
    <w:p>
      <w:pPr>
        <w:adjustRightInd w:val="0"/>
        <w:snapToGrid w:val="0"/>
        <w:spacing w:line="360" w:lineRule="auto"/>
        <w:ind w:firstLine="2520" w:firstLineChars="900"/>
        <w:rPr>
          <w:bCs/>
          <w:sz w:val="28"/>
          <w:szCs w:val="28"/>
        </w:rPr>
      </w:pPr>
      <w:r>
        <w:rPr>
          <w:sz w:val="28"/>
          <w:szCs w:val="28"/>
        </w:rPr>
        <w:t>夏季平均</w:t>
      </w:r>
      <w:r>
        <w:rPr>
          <w:bCs/>
          <w:sz w:val="28"/>
          <w:szCs w:val="28"/>
        </w:rPr>
        <w:t>气压</w:t>
      </w:r>
      <w:r>
        <w:rPr>
          <w:sz w:val="28"/>
          <w:szCs w:val="28"/>
        </w:rPr>
        <w:t>972.9毫巴</w:t>
      </w:r>
    </w:p>
    <w:p>
      <w:pPr>
        <w:adjustRightInd w:val="0"/>
        <w:snapToGrid w:val="0"/>
        <w:spacing w:line="360" w:lineRule="auto"/>
        <w:ind w:firstLine="2520" w:firstLineChars="900"/>
        <w:rPr>
          <w:bCs/>
          <w:sz w:val="28"/>
          <w:szCs w:val="28"/>
        </w:rPr>
      </w:pPr>
      <w:r>
        <w:rPr>
          <w:sz w:val="28"/>
          <w:szCs w:val="28"/>
        </w:rPr>
        <w:t>冬季平均</w:t>
      </w:r>
      <w:r>
        <w:rPr>
          <w:bCs/>
          <w:sz w:val="28"/>
          <w:szCs w:val="28"/>
        </w:rPr>
        <w:t>气压</w:t>
      </w:r>
      <w:r>
        <w:rPr>
          <w:sz w:val="28"/>
          <w:szCs w:val="28"/>
        </w:rPr>
        <w:t xml:space="preserve"> 991.7毫巴</w:t>
      </w:r>
    </w:p>
    <w:p>
      <w:pPr>
        <w:adjustRightInd w:val="0"/>
        <w:snapToGrid w:val="0"/>
        <w:spacing w:line="360" w:lineRule="auto"/>
        <w:ind w:firstLine="560" w:firstLineChars="200"/>
        <w:rPr>
          <w:bCs/>
          <w:sz w:val="28"/>
          <w:szCs w:val="28"/>
        </w:rPr>
      </w:pPr>
      <w:r>
        <w:rPr>
          <w:bCs/>
          <w:sz w:val="28"/>
          <w:szCs w:val="28"/>
        </w:rPr>
        <w:t>（4）风速</w:t>
      </w:r>
      <w:r>
        <w:rPr>
          <w:sz w:val="28"/>
          <w:szCs w:val="28"/>
        </w:rPr>
        <w:t>风压值</w:t>
      </w:r>
    </w:p>
    <w:p>
      <w:pPr>
        <w:adjustRightInd w:val="0"/>
        <w:snapToGrid w:val="0"/>
        <w:spacing w:line="360" w:lineRule="auto"/>
        <w:ind w:firstLine="2520" w:firstLineChars="900"/>
        <w:rPr>
          <w:bCs/>
          <w:sz w:val="28"/>
          <w:szCs w:val="28"/>
        </w:rPr>
      </w:pPr>
      <w:r>
        <w:rPr>
          <w:sz w:val="28"/>
          <w:szCs w:val="28"/>
        </w:rPr>
        <w:t>最大</w:t>
      </w:r>
      <w:r>
        <w:rPr>
          <w:bCs/>
          <w:sz w:val="28"/>
          <w:szCs w:val="28"/>
        </w:rPr>
        <w:t>风速</w:t>
      </w:r>
      <w:r>
        <w:rPr>
          <w:sz w:val="28"/>
          <w:szCs w:val="28"/>
        </w:rPr>
        <w:t>（4月）21-23米/秒</w:t>
      </w:r>
    </w:p>
    <w:p>
      <w:pPr>
        <w:adjustRightInd w:val="0"/>
        <w:snapToGrid w:val="0"/>
        <w:spacing w:line="360" w:lineRule="auto"/>
        <w:ind w:firstLine="2520" w:firstLineChars="900"/>
        <w:rPr>
          <w:bCs/>
          <w:sz w:val="28"/>
          <w:szCs w:val="28"/>
        </w:rPr>
      </w:pPr>
      <w:r>
        <w:rPr>
          <w:sz w:val="28"/>
          <w:szCs w:val="28"/>
        </w:rPr>
        <w:t>年平均风速3.7米/秒</w:t>
      </w:r>
    </w:p>
    <w:p>
      <w:pPr>
        <w:adjustRightInd w:val="0"/>
        <w:snapToGrid w:val="0"/>
        <w:spacing w:line="360" w:lineRule="auto"/>
        <w:ind w:firstLine="2520" w:firstLineChars="900"/>
        <w:rPr>
          <w:bCs/>
          <w:sz w:val="28"/>
          <w:szCs w:val="28"/>
        </w:rPr>
      </w:pPr>
      <w:r>
        <w:rPr>
          <w:sz w:val="28"/>
          <w:szCs w:val="28"/>
        </w:rPr>
        <w:t>基本风压值55千克/平方米</w:t>
      </w:r>
    </w:p>
    <w:p>
      <w:pPr>
        <w:adjustRightInd w:val="0"/>
        <w:snapToGrid w:val="0"/>
        <w:spacing w:line="360" w:lineRule="auto"/>
        <w:ind w:firstLine="560" w:firstLineChars="200"/>
        <w:rPr>
          <w:bCs/>
          <w:sz w:val="28"/>
          <w:szCs w:val="28"/>
        </w:rPr>
      </w:pPr>
      <w:r>
        <w:rPr>
          <w:bCs/>
          <w:sz w:val="28"/>
          <w:szCs w:val="28"/>
        </w:rPr>
        <w:t>（5）主导</w:t>
      </w:r>
      <w:r>
        <w:rPr>
          <w:sz w:val="28"/>
          <w:szCs w:val="28"/>
        </w:rPr>
        <w:t>风向</w:t>
      </w:r>
    </w:p>
    <w:p>
      <w:pPr>
        <w:adjustRightInd w:val="0"/>
        <w:snapToGrid w:val="0"/>
        <w:spacing w:line="360" w:lineRule="auto"/>
        <w:ind w:firstLine="2520" w:firstLineChars="900"/>
        <w:rPr>
          <w:bCs/>
          <w:sz w:val="28"/>
          <w:szCs w:val="28"/>
        </w:rPr>
      </w:pPr>
      <w:r>
        <w:rPr>
          <w:sz w:val="28"/>
          <w:szCs w:val="28"/>
        </w:rPr>
        <w:t>夏季S-</w:t>
      </w:r>
      <w:r>
        <w:rPr>
          <w:bCs/>
          <w:sz w:val="28"/>
          <w:szCs w:val="28"/>
        </w:rPr>
        <w:t xml:space="preserve">17  </w:t>
      </w:r>
      <w:r>
        <w:rPr>
          <w:sz w:val="28"/>
          <w:szCs w:val="28"/>
        </w:rPr>
        <w:t>冬季NW-20</w:t>
      </w:r>
    </w:p>
    <w:p>
      <w:pPr>
        <w:adjustRightInd w:val="0"/>
        <w:snapToGrid w:val="0"/>
        <w:spacing w:line="360" w:lineRule="auto"/>
        <w:ind w:firstLine="560" w:firstLineChars="200"/>
        <w:rPr>
          <w:bCs/>
          <w:sz w:val="28"/>
          <w:szCs w:val="28"/>
        </w:rPr>
      </w:pPr>
      <w:r>
        <w:rPr>
          <w:bCs/>
          <w:sz w:val="28"/>
          <w:szCs w:val="28"/>
        </w:rPr>
        <w:t>（6）</w:t>
      </w:r>
      <w:r>
        <w:rPr>
          <w:sz w:val="28"/>
          <w:szCs w:val="28"/>
        </w:rPr>
        <w:t>降水量</w:t>
      </w:r>
    </w:p>
    <w:p>
      <w:pPr>
        <w:adjustRightInd w:val="0"/>
        <w:snapToGrid w:val="0"/>
        <w:spacing w:line="360" w:lineRule="auto"/>
        <w:ind w:firstLine="2520" w:firstLineChars="900"/>
        <w:rPr>
          <w:bCs/>
          <w:sz w:val="28"/>
          <w:szCs w:val="28"/>
        </w:rPr>
      </w:pPr>
      <w:r>
        <w:rPr>
          <w:sz w:val="28"/>
          <w:szCs w:val="28"/>
        </w:rPr>
        <w:t>年平均</w:t>
      </w:r>
      <w:r>
        <w:rPr>
          <w:bCs/>
          <w:sz w:val="28"/>
          <w:szCs w:val="28"/>
        </w:rPr>
        <w:t>降雨量</w:t>
      </w:r>
      <w:r>
        <w:rPr>
          <w:sz w:val="28"/>
          <w:szCs w:val="28"/>
        </w:rPr>
        <w:t>400毫米</w:t>
      </w:r>
    </w:p>
    <w:p>
      <w:pPr>
        <w:adjustRightInd w:val="0"/>
        <w:snapToGrid w:val="0"/>
        <w:spacing w:line="360" w:lineRule="auto"/>
        <w:ind w:firstLine="2520" w:firstLineChars="900"/>
        <w:rPr>
          <w:sz w:val="28"/>
          <w:szCs w:val="28"/>
        </w:rPr>
      </w:pPr>
      <w:r>
        <w:rPr>
          <w:sz w:val="28"/>
          <w:szCs w:val="28"/>
        </w:rPr>
        <w:t>日最大降雨量208毫米（24小时）</w:t>
      </w:r>
    </w:p>
    <w:p>
      <w:pPr>
        <w:adjustRightInd w:val="0"/>
        <w:snapToGrid w:val="0"/>
        <w:spacing w:line="360" w:lineRule="auto"/>
        <w:ind w:firstLine="560" w:firstLineChars="200"/>
        <w:rPr>
          <w:bCs/>
          <w:sz w:val="28"/>
          <w:szCs w:val="28"/>
        </w:rPr>
      </w:pPr>
      <w:r>
        <w:rPr>
          <w:bCs/>
          <w:sz w:val="28"/>
          <w:szCs w:val="28"/>
        </w:rPr>
        <w:t>（7）</w:t>
      </w:r>
      <w:r>
        <w:rPr>
          <w:sz w:val="28"/>
          <w:szCs w:val="28"/>
        </w:rPr>
        <w:t>雪荷载</w:t>
      </w:r>
    </w:p>
    <w:p>
      <w:pPr>
        <w:adjustRightInd w:val="0"/>
        <w:snapToGrid w:val="0"/>
        <w:spacing w:line="360" w:lineRule="auto"/>
        <w:ind w:firstLine="2520" w:firstLineChars="900"/>
        <w:rPr>
          <w:bCs/>
          <w:sz w:val="28"/>
          <w:szCs w:val="28"/>
        </w:rPr>
      </w:pPr>
      <w:r>
        <w:rPr>
          <w:sz w:val="28"/>
          <w:szCs w:val="28"/>
        </w:rPr>
        <w:t>基本雪压值20千克/平方米</w:t>
      </w:r>
    </w:p>
    <w:p>
      <w:pPr>
        <w:adjustRightInd w:val="0"/>
        <w:snapToGrid w:val="0"/>
        <w:spacing w:line="360" w:lineRule="auto"/>
        <w:ind w:firstLine="560" w:firstLineChars="200"/>
        <w:rPr>
          <w:bCs/>
          <w:sz w:val="28"/>
          <w:szCs w:val="28"/>
        </w:rPr>
      </w:pPr>
      <w:r>
        <w:rPr>
          <w:bCs/>
          <w:sz w:val="28"/>
          <w:szCs w:val="28"/>
        </w:rPr>
        <w:t>（8）</w:t>
      </w:r>
      <w:r>
        <w:rPr>
          <w:sz w:val="28"/>
          <w:szCs w:val="28"/>
        </w:rPr>
        <w:t>其它</w:t>
      </w:r>
    </w:p>
    <w:p>
      <w:pPr>
        <w:adjustRightInd w:val="0"/>
        <w:snapToGrid w:val="0"/>
        <w:spacing w:line="360" w:lineRule="auto"/>
        <w:ind w:firstLine="2520" w:firstLineChars="900"/>
        <w:rPr>
          <w:bCs/>
          <w:sz w:val="28"/>
          <w:szCs w:val="28"/>
        </w:rPr>
      </w:pPr>
      <w:r>
        <w:rPr>
          <w:bCs/>
          <w:sz w:val="28"/>
          <w:szCs w:val="28"/>
        </w:rPr>
        <w:t>无霜期              90～150天</w:t>
      </w:r>
    </w:p>
    <w:p>
      <w:pPr>
        <w:adjustRightInd w:val="0"/>
        <w:snapToGrid w:val="0"/>
        <w:spacing w:line="360" w:lineRule="auto"/>
        <w:ind w:firstLine="2520" w:firstLineChars="900"/>
        <w:rPr>
          <w:bCs/>
          <w:sz w:val="28"/>
          <w:szCs w:val="28"/>
        </w:rPr>
      </w:pPr>
      <w:r>
        <w:rPr>
          <w:bCs/>
          <w:sz w:val="28"/>
          <w:szCs w:val="28"/>
        </w:rPr>
        <w:t>有效积温            3000～3200度</w:t>
      </w:r>
    </w:p>
    <w:p>
      <w:pPr>
        <w:adjustRightInd w:val="0"/>
        <w:snapToGrid w:val="0"/>
        <w:spacing w:line="360" w:lineRule="auto"/>
        <w:ind w:firstLine="2520" w:firstLineChars="900"/>
        <w:rPr>
          <w:bCs/>
          <w:sz w:val="28"/>
          <w:szCs w:val="28"/>
        </w:rPr>
      </w:pPr>
      <w:r>
        <w:rPr>
          <w:bCs/>
          <w:sz w:val="28"/>
          <w:szCs w:val="28"/>
        </w:rPr>
        <w:t>场地标准冻结深度     1.3~1.8m</w:t>
      </w:r>
    </w:p>
    <w:p>
      <w:pPr>
        <w:adjustRightInd w:val="0"/>
        <w:snapToGrid w:val="0"/>
        <w:spacing w:line="360" w:lineRule="auto"/>
        <w:ind w:firstLine="2520" w:firstLineChars="900"/>
        <w:rPr>
          <w:rFonts w:hint="eastAsia"/>
          <w:lang w:val="en-US" w:eastAsia="zh-CN"/>
        </w:rPr>
      </w:pPr>
      <w:r>
        <w:rPr>
          <w:rFonts w:hint="eastAsia"/>
          <w:bCs/>
          <w:sz w:val="28"/>
          <w:szCs w:val="28"/>
        </w:rPr>
        <w:t>全年雷暴日数        28.8天/年</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24" w:name="_Toc23775"/>
      <w:r>
        <w:rPr>
          <w:rFonts w:hint="eastAsia" w:ascii="楷体" w:hAnsi="楷体" w:eastAsia="楷体" w:cs="楷体"/>
          <w:b w:val="0"/>
          <w:bCs/>
          <w:kern w:val="2"/>
          <w:sz w:val="32"/>
          <w:szCs w:val="32"/>
          <w:lang w:val="en-US" w:eastAsia="zh-CN"/>
        </w:rPr>
        <w:t>主要原辅料及产品情况</w:t>
      </w:r>
      <w:bookmarkEnd w:id="21"/>
      <w:bookmarkEnd w:id="24"/>
    </w:p>
    <w:p>
      <w:pPr>
        <w:ind w:firstLine="560" w:firstLineChars="200"/>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宋体" w:eastAsia="宋体" w:cs="Times New Roman"/>
          <w:sz w:val="28"/>
          <w:szCs w:val="28"/>
          <w:lang w:eastAsia="zh-CN"/>
        </w:rPr>
        <w:t>生产所用原辅料及产品明细见表1</w:t>
      </w:r>
      <w:r>
        <w:rPr>
          <w:rFonts w:hint="eastAsia" w:hAnsi="宋体" w:cs="Times New Roman"/>
          <w:sz w:val="28"/>
          <w:szCs w:val="28"/>
          <w:lang w:val="en-US" w:eastAsia="zh-CN"/>
        </w:rPr>
        <w:t>-8</w:t>
      </w:r>
      <w:r>
        <w:rPr>
          <w:rFonts w:hint="eastAsia" w:ascii="Times New Roman" w:hAnsi="宋体" w:eastAsia="宋体" w:cs="Times New Roman"/>
          <w:sz w:val="28"/>
          <w:szCs w:val="28"/>
          <w:lang w:val="en-US" w:eastAsia="zh-CN"/>
        </w:rPr>
        <w:t>，主要产品生产规模情况见表1</w:t>
      </w:r>
      <w:r>
        <w:rPr>
          <w:rFonts w:hint="eastAsia" w:hAnsi="宋体" w:cs="Times New Roman"/>
          <w:sz w:val="28"/>
          <w:szCs w:val="28"/>
          <w:lang w:val="en-US" w:eastAsia="zh-CN"/>
        </w:rPr>
        <w:t>-9</w:t>
      </w:r>
      <w:r>
        <w:rPr>
          <w:rFonts w:hint="eastAsia" w:ascii="Times New Roman" w:hAnsi="宋体" w:eastAsia="宋体"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-8</w:t>
      </w:r>
      <w:r>
        <w:rPr>
          <w:rFonts w:hint="eastAsia" w:ascii="Times New Roman" w:hAnsi="Times New Roman" w:eastAsia="黑体" w:cs="Times New Roman"/>
          <w:b w:val="0"/>
          <w:bCs w:val="0"/>
          <w:color w:val="000000"/>
          <w:kern w:val="28"/>
          <w:sz w:val="21"/>
          <w:szCs w:val="21"/>
          <w:lang w:val="en-US" w:eastAsia="zh-CN" w:bidi="ar-SA"/>
        </w:rPr>
        <w:t xml:space="preserve"> 生产用原辅料明细</w:t>
      </w:r>
    </w:p>
    <w:bookmarkEnd w:id="22"/>
    <w:bookmarkEnd w:id="23"/>
    <w:tbl>
      <w:tblPr>
        <w:tblStyle w:val="90"/>
        <w:tblW w:w="9195" w:type="dxa"/>
        <w:jc w:val="center"/>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643"/>
        <w:gridCol w:w="1361"/>
        <w:gridCol w:w="887"/>
        <w:gridCol w:w="856"/>
        <w:gridCol w:w="857"/>
        <w:gridCol w:w="1225"/>
        <w:gridCol w:w="766"/>
        <w:gridCol w:w="1162"/>
        <w:gridCol w:w="750"/>
        <w:gridCol w:w="688"/>
      </w:tblGrid>
      <w:tr>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43" w:type="dxa"/>
            <w:tcBorders>
              <w:tl2br w:val="nil"/>
              <w:tr2bl w:val="nil"/>
            </w:tcBorders>
            <w:noWrap w:val="0"/>
            <w:textDirection w:val="tbRlV"/>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bookmarkStart w:id="25" w:name="_Toc8008_WPSOffice_Level2"/>
            <w:bookmarkStart w:id="26" w:name="_Toc8747_WPSOffice_Level2"/>
            <w:bookmarkStart w:id="27" w:name="_Toc532976982"/>
            <w:r>
              <w:rPr>
                <w:rFonts w:hint="default" w:ascii="Times New Roman" w:hAnsi="Times New Roman" w:eastAsia="宋体" w:cs="Times New Roman"/>
                <w:b/>
                <w:bCs/>
                <w:snapToGrid w:val="0"/>
                <w:color w:val="000000"/>
                <w:spacing w:val="9"/>
                <w:kern w:val="0"/>
                <w:sz w:val="21"/>
                <w:szCs w:val="21"/>
              </w:rPr>
              <w:t>序 号</w:t>
            </w:r>
          </w:p>
        </w:tc>
        <w:tc>
          <w:tcPr>
            <w:tcW w:w="1361"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原料名称</w:t>
            </w:r>
          </w:p>
        </w:tc>
        <w:tc>
          <w:tcPr>
            <w:tcW w:w="88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火灾危 险类别</w:t>
            </w:r>
          </w:p>
        </w:tc>
        <w:tc>
          <w:tcPr>
            <w:tcW w:w="85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消耗量 (t/a )</w:t>
            </w:r>
          </w:p>
        </w:tc>
        <w:tc>
          <w:tcPr>
            <w:tcW w:w="85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储存</w:t>
            </w:r>
            <w:r>
              <w:rPr>
                <w:rFonts w:hint="eastAsia" w:ascii="Times New Roman" w:hAnsi="Times New Roman" w:eastAsia="宋体" w:cs="Times New Roman"/>
                <w:b/>
                <w:bCs/>
                <w:snapToGrid w:val="0"/>
                <w:color w:val="000000"/>
                <w:spacing w:val="9"/>
                <w:kern w:val="0"/>
                <w:sz w:val="21"/>
                <w:szCs w:val="21"/>
                <w:lang w:eastAsia="zh-CN"/>
              </w:rPr>
              <w:t>量</w:t>
            </w:r>
            <w:r>
              <w:rPr>
                <w:rFonts w:hint="default" w:ascii="Times New Roman" w:hAnsi="Times New Roman" w:eastAsia="宋体" w:cs="Times New Roman"/>
                <w:b/>
                <w:bCs/>
                <w:snapToGrid w:val="0"/>
                <w:color w:val="000000"/>
                <w:spacing w:val="9"/>
                <w:kern w:val="0"/>
                <w:sz w:val="21"/>
                <w:szCs w:val="21"/>
              </w:rPr>
              <w:t>(t)</w:t>
            </w:r>
          </w:p>
        </w:tc>
        <w:tc>
          <w:tcPr>
            <w:tcW w:w="1225"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储存场所</w:t>
            </w:r>
          </w:p>
        </w:tc>
        <w:tc>
          <w:tcPr>
            <w:tcW w:w="76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包装 方式</w:t>
            </w:r>
          </w:p>
        </w:tc>
        <w:tc>
          <w:tcPr>
            <w:tcW w:w="1162"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包装规格</w:t>
            </w:r>
          </w:p>
        </w:tc>
        <w:tc>
          <w:tcPr>
            <w:tcW w:w="750"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相态</w:t>
            </w:r>
          </w:p>
        </w:tc>
        <w:tc>
          <w:tcPr>
            <w:tcW w:w="688"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eastAsia" w:ascii="Times New Roman" w:hAnsi="Times New Roman" w:eastAsia="宋体" w:cs="Times New Roman"/>
                <w:b/>
                <w:bCs/>
                <w:snapToGrid w:val="0"/>
                <w:color w:val="000000"/>
                <w:spacing w:val="9"/>
                <w:kern w:val="0"/>
                <w:sz w:val="21"/>
                <w:szCs w:val="21"/>
                <w:lang w:eastAsia="zh-CN"/>
              </w:rPr>
            </w:pPr>
            <w:r>
              <w:rPr>
                <w:rFonts w:hint="eastAsia" w:ascii="Times New Roman" w:hAnsi="Times New Roman" w:eastAsia="宋体" w:cs="Times New Roman"/>
                <w:b/>
                <w:bCs/>
                <w:snapToGrid w:val="0"/>
                <w:color w:val="000000"/>
                <w:spacing w:val="9"/>
                <w:kern w:val="0"/>
                <w:sz w:val="21"/>
                <w:szCs w:val="21"/>
                <w:lang w:eastAsia="zh-CN"/>
              </w:rPr>
              <w:t>备注</w:t>
            </w:r>
          </w:p>
        </w:tc>
      </w:tr>
      <w:tr>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43"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1.</w:t>
            </w:r>
          </w:p>
        </w:tc>
        <w:tc>
          <w:tcPr>
            <w:tcW w:w="1361"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玉米芯</w:t>
            </w:r>
          </w:p>
        </w:tc>
        <w:tc>
          <w:tcPr>
            <w:tcW w:w="88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丙</w:t>
            </w:r>
          </w:p>
        </w:tc>
        <w:tc>
          <w:tcPr>
            <w:tcW w:w="85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eastAsia"/>
                <w:szCs w:val="21"/>
              </w:rPr>
              <w:t>37500</w:t>
            </w:r>
          </w:p>
        </w:tc>
        <w:tc>
          <w:tcPr>
            <w:tcW w:w="85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eastAsia" w:cs="Times New Roman"/>
                <w:snapToGrid w:val="0"/>
                <w:color w:val="000000"/>
                <w:spacing w:val="9"/>
                <w:kern w:val="0"/>
                <w:sz w:val="21"/>
                <w:szCs w:val="21"/>
                <w:lang w:val="en-US" w:eastAsia="zh-CN"/>
              </w:rPr>
              <w:t>30</w:t>
            </w:r>
            <w:r>
              <w:rPr>
                <w:rFonts w:hint="default" w:ascii="Times New Roman" w:hAnsi="Times New Roman" w:eastAsia="宋体" w:cs="Times New Roman"/>
                <w:snapToGrid w:val="0"/>
                <w:color w:val="000000"/>
                <w:spacing w:val="9"/>
                <w:kern w:val="0"/>
                <w:sz w:val="21"/>
                <w:szCs w:val="21"/>
              </w:rPr>
              <w:t>00</w:t>
            </w:r>
          </w:p>
        </w:tc>
        <w:tc>
          <w:tcPr>
            <w:tcW w:w="1225"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玉米芯堆场</w:t>
            </w:r>
          </w:p>
        </w:tc>
        <w:tc>
          <w:tcPr>
            <w:tcW w:w="76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eastAsia" w:ascii="Times New Roman" w:hAnsi="Times New Roman" w:eastAsia="宋体" w:cs="Times New Roman"/>
                <w:snapToGrid w:val="0"/>
                <w:color w:val="000000"/>
                <w:spacing w:val="9"/>
                <w:kern w:val="0"/>
                <w:sz w:val="21"/>
                <w:szCs w:val="21"/>
                <w:lang w:val="en-US" w:eastAsia="zh-CN"/>
              </w:rPr>
              <w:t>—</w:t>
            </w:r>
          </w:p>
        </w:tc>
        <w:tc>
          <w:tcPr>
            <w:tcW w:w="1162"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lang w:val="en-US" w:eastAsia="zh-CN"/>
              </w:rPr>
            </w:pPr>
            <w:r>
              <w:rPr>
                <w:rFonts w:hint="eastAsia" w:ascii="Times New Roman" w:hAnsi="Times New Roman" w:eastAsia="宋体" w:cs="Times New Roman"/>
                <w:snapToGrid w:val="0"/>
                <w:color w:val="000000"/>
                <w:spacing w:val="9"/>
                <w:kern w:val="0"/>
                <w:sz w:val="21"/>
                <w:szCs w:val="21"/>
                <w:lang w:val="en-US" w:eastAsia="zh-CN"/>
              </w:rPr>
              <w:t>—</w:t>
            </w:r>
          </w:p>
        </w:tc>
        <w:tc>
          <w:tcPr>
            <w:tcW w:w="750" w:type="dxa"/>
            <w:tcBorders>
              <w:tl2br w:val="nil"/>
              <w:tr2bl w:val="nil"/>
            </w:tcBorders>
            <w:noWrap w:val="0"/>
            <w:vAlign w:val="top"/>
          </w:tcPr>
          <w:p>
            <w:pPr>
              <w:spacing w:before="177" w:line="240" w:lineRule="auto"/>
              <w:ind w:left="188" w:leftChars="0"/>
              <w:rPr>
                <w:rFonts w:hint="default" w:ascii="宋体" w:hAnsi="宋体" w:eastAsia="宋体" w:cs="宋体"/>
                <w:kern w:val="2"/>
                <w:sz w:val="20"/>
                <w:szCs w:val="20"/>
                <w:lang w:bidi="ar-SA"/>
              </w:rPr>
            </w:pPr>
            <w:r>
              <w:rPr>
                <w:rFonts w:ascii="宋体" w:hAnsi="宋体" w:eastAsia="宋体" w:cs="宋体"/>
                <w:spacing w:val="-5"/>
                <w:sz w:val="20"/>
                <w:szCs w:val="20"/>
              </w:rPr>
              <w:t>固</w:t>
            </w:r>
            <w:r>
              <w:rPr>
                <w:rFonts w:ascii="宋体" w:hAnsi="宋体" w:eastAsia="宋体" w:cs="宋体"/>
                <w:spacing w:val="-4"/>
                <w:sz w:val="20"/>
                <w:szCs w:val="20"/>
              </w:rPr>
              <w:t>态</w:t>
            </w:r>
          </w:p>
        </w:tc>
        <w:tc>
          <w:tcPr>
            <w:tcW w:w="688"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p>
        </w:tc>
      </w:tr>
      <w:tr>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43"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2.</w:t>
            </w:r>
          </w:p>
        </w:tc>
        <w:tc>
          <w:tcPr>
            <w:tcW w:w="1361"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硫酸 (9</w:t>
            </w:r>
            <w:r>
              <w:rPr>
                <w:rFonts w:hint="eastAsia" w:cs="Times New Roman"/>
                <w:snapToGrid w:val="0"/>
                <w:color w:val="000000"/>
                <w:spacing w:val="9"/>
                <w:kern w:val="0"/>
                <w:sz w:val="21"/>
                <w:szCs w:val="21"/>
                <w:lang w:val="en-US" w:eastAsia="zh-CN"/>
              </w:rPr>
              <w:t>6</w:t>
            </w:r>
            <w:r>
              <w:rPr>
                <w:rFonts w:hint="default" w:ascii="Times New Roman" w:hAnsi="Times New Roman" w:eastAsia="宋体" w:cs="Times New Roman"/>
                <w:snapToGrid w:val="0"/>
                <w:color w:val="000000"/>
                <w:spacing w:val="9"/>
                <w:kern w:val="0"/>
                <w:sz w:val="21"/>
                <w:szCs w:val="21"/>
              </w:rPr>
              <w:t>%)</w:t>
            </w:r>
          </w:p>
        </w:tc>
        <w:tc>
          <w:tcPr>
            <w:tcW w:w="88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戊</w:t>
            </w:r>
          </w:p>
        </w:tc>
        <w:tc>
          <w:tcPr>
            <w:tcW w:w="85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lang w:val="en-US" w:eastAsia="zh-CN"/>
              </w:rPr>
            </w:pPr>
            <w:r>
              <w:rPr>
                <w:rFonts w:hint="eastAsia" w:cs="Times New Roman"/>
                <w:snapToGrid w:val="0"/>
                <w:color w:val="000000"/>
                <w:spacing w:val="9"/>
                <w:kern w:val="0"/>
                <w:sz w:val="21"/>
                <w:szCs w:val="21"/>
                <w:lang w:val="en-US" w:eastAsia="zh-CN"/>
              </w:rPr>
              <w:t>720</w:t>
            </w:r>
          </w:p>
        </w:tc>
        <w:tc>
          <w:tcPr>
            <w:tcW w:w="85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eastAsia" w:cs="Times New Roman"/>
                <w:snapToGrid w:val="0"/>
                <w:color w:val="000000"/>
                <w:spacing w:val="9"/>
                <w:kern w:val="0"/>
                <w:sz w:val="21"/>
                <w:szCs w:val="21"/>
                <w:lang w:val="en-US" w:eastAsia="zh-CN"/>
              </w:rPr>
              <w:t>3</w:t>
            </w:r>
            <w:r>
              <w:rPr>
                <w:rFonts w:hint="default" w:ascii="Times New Roman" w:hAnsi="Times New Roman" w:eastAsia="宋体" w:cs="Times New Roman"/>
                <w:snapToGrid w:val="0"/>
                <w:color w:val="000000"/>
                <w:spacing w:val="9"/>
                <w:kern w:val="0"/>
                <w:sz w:val="21"/>
                <w:szCs w:val="21"/>
              </w:rPr>
              <w:t>0</w:t>
            </w:r>
          </w:p>
        </w:tc>
        <w:tc>
          <w:tcPr>
            <w:tcW w:w="1225"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硫酸罐</w:t>
            </w:r>
          </w:p>
        </w:tc>
        <w:tc>
          <w:tcPr>
            <w:tcW w:w="76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储罐</w:t>
            </w:r>
          </w:p>
        </w:tc>
        <w:tc>
          <w:tcPr>
            <w:tcW w:w="1162"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1</w:t>
            </w:r>
            <w:r>
              <w:rPr>
                <w:rFonts w:hint="eastAsia" w:cs="Times New Roman"/>
                <w:snapToGrid w:val="0"/>
                <w:color w:val="000000"/>
                <w:spacing w:val="9"/>
                <w:kern w:val="0"/>
                <w:sz w:val="21"/>
                <w:szCs w:val="21"/>
                <w:lang w:val="en-US" w:eastAsia="zh-CN"/>
              </w:rPr>
              <w:t>0</w:t>
            </w:r>
            <w:r>
              <w:rPr>
                <w:rFonts w:hint="default" w:ascii="Times New Roman" w:hAnsi="Times New Roman" w:eastAsia="宋体" w:cs="Times New Roman"/>
                <w:snapToGrid w:val="0"/>
                <w:color w:val="000000"/>
                <w:spacing w:val="9"/>
                <w:kern w:val="0"/>
                <w:sz w:val="21"/>
                <w:szCs w:val="21"/>
              </w:rPr>
              <w:t>m</w:t>
            </w:r>
            <w:r>
              <w:rPr>
                <w:rFonts w:hint="default" w:ascii="Times New Roman" w:hAnsi="Times New Roman" w:eastAsia="宋体" w:cs="Times New Roman"/>
                <w:snapToGrid w:val="0"/>
                <w:color w:val="000000"/>
                <w:spacing w:val="9"/>
                <w:kern w:val="0"/>
                <w:sz w:val="21"/>
                <w:szCs w:val="21"/>
                <w:vertAlign w:val="superscript"/>
              </w:rPr>
              <w:t>3</w:t>
            </w:r>
          </w:p>
        </w:tc>
        <w:tc>
          <w:tcPr>
            <w:tcW w:w="750" w:type="dxa"/>
            <w:tcBorders>
              <w:tl2br w:val="nil"/>
              <w:tr2bl w:val="nil"/>
            </w:tcBorders>
            <w:noWrap w:val="0"/>
            <w:vAlign w:val="top"/>
          </w:tcPr>
          <w:p>
            <w:pPr>
              <w:spacing w:before="130" w:line="240" w:lineRule="auto"/>
              <w:ind w:left="172" w:leftChars="0"/>
              <w:rPr>
                <w:rFonts w:hint="default" w:ascii="宋体" w:hAnsi="宋体" w:eastAsia="宋体" w:cs="宋体"/>
                <w:kern w:val="2"/>
                <w:sz w:val="20"/>
                <w:szCs w:val="20"/>
                <w:lang w:bidi="ar-SA"/>
              </w:rPr>
            </w:pPr>
            <w:r>
              <w:rPr>
                <w:rFonts w:ascii="宋体" w:hAnsi="宋体" w:eastAsia="宋体" w:cs="宋体"/>
                <w:spacing w:val="4"/>
                <w:sz w:val="20"/>
                <w:szCs w:val="20"/>
              </w:rPr>
              <w:t>液</w:t>
            </w:r>
            <w:r>
              <w:rPr>
                <w:rFonts w:ascii="宋体" w:hAnsi="宋体" w:eastAsia="宋体" w:cs="宋体"/>
                <w:spacing w:val="3"/>
                <w:sz w:val="20"/>
                <w:szCs w:val="20"/>
              </w:rPr>
              <w:t>态</w:t>
            </w:r>
          </w:p>
        </w:tc>
        <w:tc>
          <w:tcPr>
            <w:tcW w:w="688"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p>
        </w:tc>
      </w:tr>
      <w:tr>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43"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3.</w:t>
            </w:r>
          </w:p>
        </w:tc>
        <w:tc>
          <w:tcPr>
            <w:tcW w:w="1361"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碳酸钠</w:t>
            </w:r>
          </w:p>
        </w:tc>
        <w:tc>
          <w:tcPr>
            <w:tcW w:w="88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戊</w:t>
            </w:r>
          </w:p>
        </w:tc>
        <w:tc>
          <w:tcPr>
            <w:tcW w:w="85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lang w:val="en-US" w:eastAsia="zh-CN"/>
              </w:rPr>
            </w:pPr>
            <w:r>
              <w:rPr>
                <w:rFonts w:hint="eastAsia" w:cs="Times New Roman"/>
                <w:snapToGrid w:val="0"/>
                <w:color w:val="000000"/>
                <w:spacing w:val="9"/>
                <w:kern w:val="0"/>
                <w:sz w:val="21"/>
                <w:szCs w:val="21"/>
                <w:lang w:val="en-US" w:eastAsia="zh-CN"/>
              </w:rPr>
              <w:t>11</w:t>
            </w:r>
          </w:p>
        </w:tc>
        <w:tc>
          <w:tcPr>
            <w:tcW w:w="85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eastAsia" w:ascii="Times New Roman" w:hAnsi="Times New Roman" w:eastAsia="宋体" w:cs="Times New Roman"/>
                <w:snapToGrid w:val="0"/>
                <w:color w:val="000000"/>
                <w:spacing w:val="9"/>
                <w:kern w:val="0"/>
                <w:sz w:val="21"/>
                <w:szCs w:val="21"/>
                <w:lang w:eastAsia="zh-CN"/>
              </w:rPr>
            </w:pPr>
            <w:r>
              <w:rPr>
                <w:rFonts w:hint="eastAsia" w:cs="Times New Roman"/>
                <w:snapToGrid w:val="0"/>
                <w:color w:val="000000"/>
                <w:spacing w:val="9"/>
                <w:kern w:val="0"/>
                <w:sz w:val="21"/>
                <w:szCs w:val="21"/>
                <w:lang w:val="en-US" w:eastAsia="zh-CN"/>
              </w:rPr>
              <w:t>2</w:t>
            </w:r>
          </w:p>
        </w:tc>
        <w:tc>
          <w:tcPr>
            <w:tcW w:w="1225"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生产车间</w:t>
            </w:r>
          </w:p>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中间库</w:t>
            </w:r>
          </w:p>
        </w:tc>
        <w:tc>
          <w:tcPr>
            <w:tcW w:w="76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袋装</w:t>
            </w:r>
          </w:p>
        </w:tc>
        <w:tc>
          <w:tcPr>
            <w:tcW w:w="1162"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r>
              <w:rPr>
                <w:rFonts w:hint="default" w:ascii="Times New Roman" w:hAnsi="Times New Roman" w:eastAsia="宋体" w:cs="Times New Roman"/>
                <w:snapToGrid w:val="0"/>
                <w:color w:val="000000"/>
                <w:spacing w:val="9"/>
                <w:kern w:val="0"/>
                <w:sz w:val="21"/>
                <w:szCs w:val="21"/>
              </w:rPr>
              <w:t>40kg/袋</w:t>
            </w:r>
          </w:p>
        </w:tc>
        <w:tc>
          <w:tcPr>
            <w:tcW w:w="750" w:type="dxa"/>
            <w:tcBorders>
              <w:tl2br w:val="nil"/>
              <w:tr2bl w:val="nil"/>
            </w:tcBorders>
            <w:noWrap w:val="0"/>
            <w:vAlign w:val="top"/>
          </w:tcPr>
          <w:p>
            <w:pPr>
              <w:spacing w:before="178" w:line="240" w:lineRule="auto"/>
              <w:ind w:left="188" w:leftChars="0"/>
              <w:rPr>
                <w:rFonts w:hint="default" w:ascii="宋体" w:hAnsi="宋体" w:eastAsia="宋体" w:cs="宋体"/>
                <w:kern w:val="2"/>
                <w:sz w:val="20"/>
                <w:szCs w:val="20"/>
                <w:lang w:bidi="ar-SA"/>
              </w:rPr>
            </w:pPr>
            <w:r>
              <w:rPr>
                <w:rFonts w:ascii="宋体" w:hAnsi="宋体" w:eastAsia="宋体" w:cs="宋体"/>
                <w:spacing w:val="-5"/>
                <w:sz w:val="20"/>
                <w:szCs w:val="20"/>
              </w:rPr>
              <w:t>固</w:t>
            </w:r>
            <w:r>
              <w:rPr>
                <w:rFonts w:ascii="宋体" w:hAnsi="宋体" w:eastAsia="宋体" w:cs="宋体"/>
                <w:spacing w:val="-4"/>
                <w:sz w:val="20"/>
                <w:szCs w:val="20"/>
              </w:rPr>
              <w:t>态</w:t>
            </w:r>
          </w:p>
        </w:tc>
        <w:tc>
          <w:tcPr>
            <w:tcW w:w="688"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snapToGrid w:val="0"/>
                <w:color w:val="000000"/>
                <w:spacing w:val="9"/>
                <w:kern w:val="0"/>
                <w:sz w:val="21"/>
                <w:szCs w:val="21"/>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-9</w:t>
      </w:r>
      <w:r>
        <w:rPr>
          <w:rFonts w:hint="eastAsia" w:ascii="Times New Roman" w:hAnsi="Times New Roman" w:eastAsia="黑体" w:cs="Times New Roman"/>
          <w:b w:val="0"/>
          <w:bCs w:val="0"/>
          <w:color w:val="000000"/>
          <w:kern w:val="28"/>
          <w:sz w:val="21"/>
          <w:szCs w:val="21"/>
          <w:lang w:val="en-US" w:eastAsia="zh-CN" w:bidi="ar-SA"/>
        </w:rPr>
        <w:t xml:space="preserve"> 主要产品生产规模明细</w:t>
      </w:r>
    </w:p>
    <w:tbl>
      <w:tblPr>
        <w:tblStyle w:val="90"/>
        <w:tblW w:w="9232" w:type="dxa"/>
        <w:jc w:val="center"/>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676"/>
        <w:gridCol w:w="1387"/>
        <w:gridCol w:w="1200"/>
        <w:gridCol w:w="1125"/>
        <w:gridCol w:w="1313"/>
        <w:gridCol w:w="1097"/>
        <w:gridCol w:w="1000"/>
        <w:gridCol w:w="708"/>
        <w:gridCol w:w="726"/>
      </w:tblGrid>
      <w:tr>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序号</w:t>
            </w:r>
          </w:p>
        </w:tc>
        <w:tc>
          <w:tcPr>
            <w:tcW w:w="138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产品名称</w:t>
            </w:r>
          </w:p>
        </w:tc>
        <w:tc>
          <w:tcPr>
            <w:tcW w:w="1200"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年产量</w:t>
            </w:r>
          </w:p>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(t/a )</w:t>
            </w:r>
          </w:p>
        </w:tc>
        <w:tc>
          <w:tcPr>
            <w:tcW w:w="1125"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储存规模</w:t>
            </w:r>
          </w:p>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(t)</w:t>
            </w:r>
          </w:p>
        </w:tc>
        <w:tc>
          <w:tcPr>
            <w:tcW w:w="1313"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储存场所</w:t>
            </w:r>
          </w:p>
        </w:tc>
        <w:tc>
          <w:tcPr>
            <w:tcW w:w="109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火灾危险类别</w:t>
            </w:r>
          </w:p>
        </w:tc>
        <w:tc>
          <w:tcPr>
            <w:tcW w:w="1000"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包装</w:t>
            </w:r>
          </w:p>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方式</w:t>
            </w:r>
          </w:p>
        </w:tc>
        <w:tc>
          <w:tcPr>
            <w:tcW w:w="708"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相态</w:t>
            </w:r>
          </w:p>
        </w:tc>
        <w:tc>
          <w:tcPr>
            <w:tcW w:w="72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bCs/>
                <w:snapToGrid w:val="0"/>
                <w:color w:val="000000"/>
                <w:spacing w:val="9"/>
                <w:kern w:val="0"/>
                <w:sz w:val="21"/>
                <w:szCs w:val="21"/>
              </w:rPr>
            </w:pPr>
            <w:r>
              <w:rPr>
                <w:rFonts w:hint="default" w:ascii="Times New Roman" w:hAnsi="Times New Roman" w:eastAsia="宋体" w:cs="Times New Roman"/>
                <w:b/>
                <w:bCs/>
                <w:snapToGrid w:val="0"/>
                <w:color w:val="000000"/>
                <w:spacing w:val="9"/>
                <w:kern w:val="0"/>
                <w:sz w:val="21"/>
                <w:szCs w:val="21"/>
              </w:rPr>
              <w:t>备注</w:t>
            </w:r>
          </w:p>
        </w:tc>
      </w:tr>
      <w:tr>
        <w:tblPrEx>
          <w:tblBorders>
            <w:top w:val="single" w:color="000000" w:sz="2" w:space="0"/>
            <w:left w:val="single" w:color="000000" w:sz="4" w:space="0"/>
            <w:bottom w:val="single" w:color="000000" w:sz="2" w:space="0"/>
            <w:right w:val="single" w:color="000000" w:sz="4"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default" w:ascii="Times New Roman" w:hAnsi="Times New Roman" w:eastAsia="宋体" w:cs="Times New Roman"/>
                <w:b w:val="0"/>
                <w:bCs w:val="0"/>
                <w:snapToGrid w:val="0"/>
                <w:color w:val="000000"/>
                <w:spacing w:val="9"/>
                <w:kern w:val="0"/>
                <w:sz w:val="21"/>
                <w:szCs w:val="21"/>
              </w:rPr>
              <w:t>1.</w:t>
            </w:r>
          </w:p>
        </w:tc>
        <w:tc>
          <w:tcPr>
            <w:tcW w:w="138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default" w:ascii="Times New Roman" w:hAnsi="Times New Roman" w:eastAsia="宋体" w:cs="Times New Roman"/>
                <w:b w:val="0"/>
                <w:bCs w:val="0"/>
                <w:snapToGrid w:val="0"/>
                <w:color w:val="000000"/>
                <w:spacing w:val="9"/>
                <w:kern w:val="0"/>
                <w:sz w:val="21"/>
                <w:szCs w:val="21"/>
              </w:rPr>
              <w:t>糠醛</w:t>
            </w:r>
          </w:p>
        </w:tc>
        <w:tc>
          <w:tcPr>
            <w:tcW w:w="1200"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eastAsia" w:cs="Times New Roman"/>
                <w:b w:val="0"/>
                <w:bCs w:val="0"/>
                <w:snapToGrid w:val="0"/>
                <w:color w:val="000000"/>
                <w:spacing w:val="9"/>
                <w:kern w:val="0"/>
                <w:sz w:val="21"/>
                <w:szCs w:val="21"/>
                <w:lang w:val="en-US" w:eastAsia="zh-CN"/>
              </w:rPr>
              <w:t>2</w:t>
            </w:r>
            <w:r>
              <w:rPr>
                <w:rFonts w:hint="default" w:ascii="Times New Roman" w:hAnsi="Times New Roman" w:eastAsia="宋体" w:cs="Times New Roman"/>
                <w:b w:val="0"/>
                <w:bCs w:val="0"/>
                <w:snapToGrid w:val="0"/>
                <w:color w:val="000000"/>
                <w:spacing w:val="9"/>
                <w:kern w:val="0"/>
                <w:sz w:val="21"/>
                <w:szCs w:val="21"/>
              </w:rPr>
              <w:t>000</w:t>
            </w:r>
          </w:p>
        </w:tc>
        <w:tc>
          <w:tcPr>
            <w:tcW w:w="1125"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lang w:val="en-US" w:eastAsia="zh-CN"/>
              </w:rPr>
            </w:pPr>
            <w:r>
              <w:rPr>
                <w:rFonts w:hint="eastAsia" w:cs="Times New Roman"/>
                <w:b w:val="0"/>
                <w:bCs w:val="0"/>
                <w:snapToGrid w:val="0"/>
                <w:color w:val="000000"/>
                <w:spacing w:val="9"/>
                <w:kern w:val="0"/>
                <w:sz w:val="21"/>
                <w:szCs w:val="21"/>
                <w:lang w:val="en-US" w:eastAsia="zh-CN"/>
              </w:rPr>
              <w:t>146</w:t>
            </w:r>
          </w:p>
        </w:tc>
        <w:tc>
          <w:tcPr>
            <w:tcW w:w="1313"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default" w:ascii="Times New Roman" w:hAnsi="Times New Roman" w:eastAsia="宋体" w:cs="Times New Roman"/>
                <w:b w:val="0"/>
                <w:bCs w:val="0"/>
                <w:snapToGrid w:val="0"/>
                <w:color w:val="000000"/>
                <w:spacing w:val="9"/>
                <w:kern w:val="0"/>
                <w:sz w:val="21"/>
                <w:szCs w:val="21"/>
              </w:rPr>
              <w:t>罐区</w:t>
            </w:r>
          </w:p>
        </w:tc>
        <w:tc>
          <w:tcPr>
            <w:tcW w:w="1097"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default" w:ascii="Times New Roman" w:hAnsi="Times New Roman" w:eastAsia="宋体" w:cs="Times New Roman"/>
                <w:b w:val="0"/>
                <w:bCs w:val="0"/>
                <w:snapToGrid w:val="0"/>
                <w:color w:val="000000"/>
                <w:spacing w:val="9"/>
                <w:kern w:val="0"/>
                <w:sz w:val="21"/>
                <w:szCs w:val="21"/>
              </w:rPr>
              <w:t>丙A</w:t>
            </w:r>
          </w:p>
        </w:tc>
        <w:tc>
          <w:tcPr>
            <w:tcW w:w="1000"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default" w:ascii="Times New Roman" w:hAnsi="Times New Roman" w:eastAsia="宋体" w:cs="Times New Roman"/>
                <w:b w:val="0"/>
                <w:bCs w:val="0"/>
                <w:snapToGrid w:val="0"/>
                <w:color w:val="000000"/>
                <w:spacing w:val="9"/>
                <w:kern w:val="0"/>
                <w:sz w:val="21"/>
                <w:szCs w:val="21"/>
              </w:rPr>
              <w:t>储罐</w:t>
            </w:r>
          </w:p>
        </w:tc>
        <w:tc>
          <w:tcPr>
            <w:tcW w:w="708"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r>
              <w:rPr>
                <w:rFonts w:hint="default" w:ascii="Times New Roman" w:hAnsi="Times New Roman" w:eastAsia="宋体" w:cs="Times New Roman"/>
                <w:b w:val="0"/>
                <w:bCs w:val="0"/>
                <w:snapToGrid w:val="0"/>
                <w:color w:val="000000"/>
                <w:spacing w:val="9"/>
                <w:kern w:val="0"/>
                <w:sz w:val="21"/>
                <w:szCs w:val="21"/>
              </w:rPr>
              <w:t>液态</w:t>
            </w:r>
          </w:p>
        </w:tc>
        <w:tc>
          <w:tcPr>
            <w:tcW w:w="726" w:type="dxa"/>
            <w:tcBorders>
              <w:tl2br w:val="nil"/>
              <w:tr2bl w:val="nil"/>
            </w:tcBorders>
            <w:noWrap w:val="0"/>
            <w:vAlign w:val="center"/>
          </w:tcPr>
          <w:p>
            <w:pPr>
              <w:widowControl/>
              <w:kinsoku w:val="0"/>
              <w:autoSpaceDE w:val="0"/>
              <w:autoSpaceDN w:val="0"/>
              <w:adjustRightInd w:val="0"/>
              <w:snapToGrid w:val="0"/>
              <w:spacing w:before="65" w:line="240" w:lineRule="auto"/>
              <w:jc w:val="center"/>
              <w:textAlignment w:val="baseline"/>
              <w:rPr>
                <w:rFonts w:hint="default" w:ascii="Times New Roman" w:hAnsi="Times New Roman" w:eastAsia="宋体" w:cs="Times New Roman"/>
                <w:b w:val="0"/>
                <w:bCs w:val="0"/>
                <w:snapToGrid w:val="0"/>
                <w:color w:val="000000"/>
                <w:spacing w:val="9"/>
                <w:kern w:val="0"/>
                <w:sz w:val="21"/>
                <w:szCs w:val="21"/>
              </w:rPr>
            </w:pPr>
          </w:p>
        </w:tc>
      </w:tr>
    </w:tbl>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28" w:name="_Toc22112"/>
      <w:r>
        <w:rPr>
          <w:rFonts w:hint="eastAsia" w:ascii="楷体" w:hAnsi="楷体" w:eastAsia="楷体" w:cs="楷体"/>
          <w:b w:val="0"/>
          <w:bCs/>
          <w:kern w:val="2"/>
          <w:sz w:val="32"/>
          <w:szCs w:val="32"/>
          <w:lang w:val="en-US" w:eastAsia="zh-CN"/>
        </w:rPr>
        <w:t>生产工艺</w:t>
      </w:r>
      <w:bookmarkEnd w:id="25"/>
      <w:bookmarkEnd w:id="26"/>
      <w:bookmarkEnd w:id="27"/>
      <w:r>
        <w:rPr>
          <w:rFonts w:hint="eastAsia" w:ascii="楷体" w:hAnsi="楷体" w:eastAsia="楷体" w:cs="楷体"/>
          <w:b w:val="0"/>
          <w:bCs/>
          <w:kern w:val="2"/>
          <w:sz w:val="32"/>
          <w:szCs w:val="32"/>
          <w:lang w:val="en-US" w:eastAsia="zh-CN"/>
        </w:rPr>
        <w:t>流程</w:t>
      </w:r>
      <w:bookmarkEnd w:id="28"/>
    </w:p>
    <w:p>
      <w:pPr>
        <w:ind w:firstLine="570"/>
        <w:rPr>
          <w:rFonts w:hint="default"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1、反应原理</w:t>
      </w:r>
    </w:p>
    <w:p>
      <w:pPr>
        <w:ind w:firstLine="570"/>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凡含戊聚糖较多的玉米芯、棉子壳、甘蔗渣（髓）、稻壳、向日葵子壳、油茶壳、阔叶材等都可用来生产糠醛，其中以玉米芯的理论含量最多。该企业采用的是以玉米芯为主要原料，以稀硫酸为催化剂，经高温水解制备糖醛。</w:t>
      </w:r>
    </w:p>
    <w:p>
      <w:pPr>
        <w:ind w:firstLine="570"/>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其反应的方程式：</w:t>
      </w:r>
    </w:p>
    <w:p>
      <w:pPr>
        <w:pStyle w:val="24"/>
        <w:rPr>
          <w:rFonts w:hint="eastAsia"/>
          <w:lang w:eastAsia="zh-CN"/>
        </w:rPr>
      </w:pPr>
    </w:p>
    <w:p>
      <w:pPr>
        <w:jc w:val="center"/>
        <w:rPr>
          <w:rFonts w:hint="eastAsia" w:ascii="Times New Roman" w:hAnsi="宋体" w:eastAsia="宋体" w:cs="Times New Roman"/>
          <w:sz w:val="28"/>
          <w:szCs w:val="28"/>
          <w:lang w:eastAsia="zh-CN"/>
        </w:rPr>
      </w:pPr>
      <w:r>
        <w:drawing>
          <wp:inline distT="0" distB="0" distL="114300" distR="114300">
            <wp:extent cx="5522595" cy="572135"/>
            <wp:effectExtent l="0" t="0" r="9525" b="6985"/>
            <wp:docPr id="10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2"/>
                    <pic:cNvPicPr>
                      <a:picLocks noChangeAspect="1"/>
                    </pic:cNvPicPr>
                  </pic:nvPicPr>
                  <pic:blipFill>
                    <a:blip r:embed="rId15"/>
                    <a:stretch>
                      <a:fillRect/>
                    </a:stretch>
                  </pic:blipFill>
                  <pic:spPr>
                    <a:xfrm>
                      <a:off x="0" y="0"/>
                      <a:ext cx="5522595" cy="572135"/>
                    </a:xfrm>
                    <a:prstGeom prst="rect">
                      <a:avLst/>
                    </a:prstGeom>
                    <a:noFill/>
                    <a:ln>
                      <a:noFill/>
                    </a:ln>
                  </pic:spPr>
                </pic:pic>
              </a:graphicData>
            </a:graphic>
          </wp:inline>
        </w:drawing>
      </w:r>
    </w:p>
    <w:p>
      <w:pPr>
        <w:pStyle w:val="24"/>
        <w:keepNext w:val="0"/>
        <w:keepLines w:val="0"/>
        <w:pageBreakBefore w:val="0"/>
        <w:widowControl w:val="0"/>
        <w:kinsoku/>
        <w:wordWrap/>
        <w:overflowPunct/>
        <w:topLinePunct w:val="0"/>
        <w:autoSpaceDE/>
        <w:autoSpaceDN/>
        <w:bidi w:val="0"/>
        <w:adjustRightInd/>
        <w:snapToGrid/>
        <w:spacing w:before="313" w:beforeLines="100" w:line="360" w:lineRule="auto"/>
        <w:ind w:left="0" w:leftChars="0"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2、工艺流程简述</w:t>
      </w:r>
    </w:p>
    <w:p>
      <w:pPr>
        <w:keepNext w:val="0"/>
        <w:keepLines w:val="0"/>
        <w:widowControl/>
        <w:suppressLineNumbers w:val="0"/>
        <w:ind w:firstLine="560" w:firstLineChars="200"/>
        <w:jc w:val="left"/>
        <w:rPr>
          <w:rFonts w:hint="default" w:ascii="Times New Roman" w:hAnsi="Times New Roman" w:eastAsia="宋体" w:cs="Times New Roman"/>
          <w:color w:val="000000"/>
          <w:kern w:val="0"/>
          <w:sz w:val="28"/>
          <w:szCs w:val="28"/>
          <w:lang w:val="en-US" w:eastAsia="zh-CN" w:bidi="ar"/>
        </w:rPr>
      </w:pPr>
      <w:r>
        <w:rPr>
          <w:rFonts w:hint="default" w:ascii="Times New Roman" w:hAnsi="Times New Roman" w:eastAsia="宋体" w:cs="Times New Roman"/>
          <w:color w:val="000000"/>
          <w:kern w:val="0"/>
          <w:sz w:val="28"/>
          <w:szCs w:val="28"/>
          <w:lang w:val="en-US" w:eastAsia="zh-CN" w:bidi="ar"/>
        </w:rPr>
        <w:t>该公司生产糠醛采用一步法，即将富含聚戊糖的原料玉米芯投入水解反应釜中加热，在催化剂的作用下，水解生产糠醛。使用的催化剂为硫酸。</w:t>
      </w:r>
    </w:p>
    <w:p>
      <w:pPr>
        <w:keepNext w:val="0"/>
        <w:keepLines w:val="0"/>
        <w:widowControl/>
        <w:suppressLineNumbers w:val="0"/>
        <w:ind w:firstLine="560" w:firstLineChars="200"/>
        <w:jc w:val="left"/>
        <w:rPr>
          <w:rFonts w:hint="default" w:ascii="Times New Roman" w:hAnsi="Times New Roman" w:eastAsia="宋体" w:cs="Times New Roman"/>
          <w:color w:val="000000"/>
          <w:kern w:val="0"/>
          <w:sz w:val="28"/>
          <w:szCs w:val="28"/>
          <w:lang w:val="en-US" w:eastAsia="zh-CN" w:bidi="ar"/>
        </w:rPr>
      </w:pPr>
      <w:r>
        <w:rPr>
          <w:rFonts w:hint="default" w:ascii="Times New Roman" w:hAnsi="Times New Roman" w:eastAsia="宋体" w:cs="Times New Roman"/>
          <w:color w:val="000000"/>
          <w:kern w:val="0"/>
          <w:sz w:val="28"/>
          <w:szCs w:val="28"/>
          <w:lang w:val="en-US" w:eastAsia="zh-CN" w:bidi="ar"/>
        </w:rPr>
        <w:t>在此法工艺中一般采用3~6%的稀酸，蒸汽采用0.6~0.8MPa，温度控制在150~170℃。</w:t>
      </w:r>
    </w:p>
    <w:p>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具体工艺流程如下：</w:t>
      </w:r>
    </w:p>
    <w:p>
      <w:pPr>
        <w:keepNext w:val="0"/>
        <w:keepLines w:val="0"/>
        <w:widowControl/>
        <w:suppressLineNumbers w:val="0"/>
        <w:ind w:firstLine="560" w:firstLineChars="200"/>
        <w:jc w:val="left"/>
        <w:rPr>
          <w:rFonts w:hint="default" w:ascii="Times New Roman" w:hAnsi="Times New Roman" w:eastAsia="宋体" w:cs="Times New Roman"/>
          <w:color w:val="000000"/>
          <w:kern w:val="0"/>
          <w:sz w:val="28"/>
          <w:szCs w:val="28"/>
          <w:lang w:val="en-US" w:eastAsia="zh-CN" w:bidi="ar"/>
        </w:rPr>
      </w:pPr>
      <w:r>
        <w:rPr>
          <w:rFonts w:hint="default" w:ascii="Times New Roman" w:hAnsi="Times New Roman" w:eastAsia="宋体" w:cs="Times New Roman"/>
          <w:color w:val="000000"/>
          <w:kern w:val="0"/>
          <w:sz w:val="28"/>
          <w:szCs w:val="28"/>
          <w:lang w:val="en-US" w:eastAsia="zh-CN" w:bidi="ar"/>
        </w:rPr>
        <w:t>原料玉米芯从堆场运到车间粉碎室，经过筛选除去杂质后进入粉碎机，粉碎成20~25mm的颗粒后，用提升机送到水解工段进入拌酸机，与6~7%浓度的硫酸搅拌均匀后进入水解锅，加料量至罐口为标准，罐口封闭后由罐底部通入蒸汽进行水解，</w:t>
      </w:r>
      <w:r>
        <w:rPr>
          <w:rFonts w:hint="default" w:ascii="Times New Roman" w:hAnsi="Times New Roman" w:eastAsia="宋体" w:cs="Times New Roman"/>
          <w:color w:val="FF0000"/>
          <w:kern w:val="0"/>
          <w:sz w:val="28"/>
          <w:szCs w:val="28"/>
          <w:lang w:val="en-US" w:eastAsia="zh-CN" w:bidi="ar"/>
        </w:rPr>
        <w:t>水解压力</w:t>
      </w:r>
      <w:r>
        <w:rPr>
          <w:rFonts w:hint="eastAsia" w:ascii="Times New Roman" w:hAnsi="Times New Roman" w:cs="Times New Roman"/>
          <w:color w:val="FF0000"/>
          <w:kern w:val="0"/>
          <w:sz w:val="28"/>
          <w:szCs w:val="28"/>
          <w:lang w:val="en-US" w:eastAsia="zh-CN" w:bidi="ar"/>
        </w:rPr>
        <w:t>不超过</w:t>
      </w:r>
      <w:r>
        <w:rPr>
          <w:rFonts w:hint="default" w:ascii="Times New Roman" w:hAnsi="Times New Roman" w:eastAsia="宋体" w:cs="Times New Roman"/>
          <w:color w:val="FF0000"/>
          <w:kern w:val="0"/>
          <w:sz w:val="28"/>
          <w:szCs w:val="28"/>
          <w:lang w:val="en-US" w:eastAsia="zh-CN" w:bidi="ar"/>
        </w:rPr>
        <w:t>0.8MPa</w:t>
      </w:r>
      <w:r>
        <w:rPr>
          <w:rFonts w:hint="eastAsia" w:ascii="Times New Roman" w:hAnsi="Times New Roman" w:cs="Times New Roman"/>
          <w:color w:val="FF0000"/>
          <w:kern w:val="0"/>
          <w:sz w:val="28"/>
          <w:szCs w:val="28"/>
          <w:lang w:val="en-US" w:eastAsia="zh-CN" w:bidi="ar"/>
        </w:rPr>
        <w:t>（</w:t>
      </w:r>
      <w:r>
        <w:rPr>
          <w:rFonts w:hint="default" w:ascii="Times New Roman" w:hAnsi="Times New Roman" w:eastAsia="宋体" w:cs="Times New Roman"/>
          <w:color w:val="FF0000"/>
          <w:kern w:val="0"/>
          <w:sz w:val="28"/>
          <w:szCs w:val="28"/>
          <w:lang w:val="en-US" w:eastAsia="zh-CN" w:bidi="ar"/>
        </w:rPr>
        <w:t>水解锅</w:t>
      </w:r>
      <w:r>
        <w:rPr>
          <w:rFonts w:hint="eastAsia" w:ascii="Times New Roman" w:hAnsi="Times New Roman" w:eastAsia="宋体" w:cs="Times New Roman"/>
          <w:color w:val="FF0000"/>
          <w:kern w:val="0"/>
          <w:sz w:val="28"/>
          <w:szCs w:val="28"/>
          <w:lang w:val="en-US" w:eastAsia="zh-CN" w:bidi="ar"/>
        </w:rPr>
        <w:t>设置安全阀保证工作压力</w:t>
      </w:r>
      <w:r>
        <w:rPr>
          <w:rFonts w:hint="eastAsia" w:ascii="Times New Roman" w:hAnsi="Times New Roman" w:cs="Times New Roman"/>
          <w:color w:val="FF0000"/>
          <w:kern w:val="0"/>
          <w:sz w:val="28"/>
          <w:szCs w:val="28"/>
          <w:lang w:val="en-US" w:eastAsia="zh-CN" w:bidi="ar"/>
        </w:rPr>
        <w:t>）</w:t>
      </w:r>
      <w:r>
        <w:rPr>
          <w:rFonts w:hint="default" w:ascii="Times New Roman" w:hAnsi="Times New Roman" w:eastAsia="宋体" w:cs="Times New Roman"/>
          <w:color w:val="FF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经过3.5~10h水解完毕，含醛的水蒸汽从上部排出，水解废渣（当做锅炉燃料）通过快开阀排出。</w:t>
      </w:r>
    </w:p>
    <w:p>
      <w:pPr>
        <w:keepNext w:val="0"/>
        <w:keepLines w:val="0"/>
        <w:widowControl/>
        <w:suppressLineNumbers w:val="0"/>
        <w:ind w:firstLine="560" w:firstLineChars="200"/>
        <w:jc w:val="left"/>
        <w:rPr>
          <w:rFonts w:hint="default" w:ascii="Times New Roman" w:hAnsi="Times New Roman" w:eastAsia="宋体" w:cs="Times New Roman"/>
          <w:color w:val="FF0000"/>
          <w:kern w:val="0"/>
          <w:sz w:val="28"/>
          <w:szCs w:val="28"/>
          <w:lang w:val="en-US" w:eastAsia="zh-CN" w:bidi="ar"/>
        </w:rPr>
      </w:pPr>
      <w:r>
        <w:rPr>
          <w:rFonts w:hint="default" w:ascii="Times New Roman" w:hAnsi="Times New Roman" w:eastAsia="宋体" w:cs="Times New Roman"/>
          <w:color w:val="000000"/>
          <w:kern w:val="0"/>
          <w:sz w:val="28"/>
          <w:szCs w:val="28"/>
          <w:lang w:val="en-US" w:eastAsia="zh-CN" w:bidi="ar"/>
        </w:rPr>
        <w:t>水解锅出来的产物经净化除去油状物、焦化物后进入冷凝器（循环水冷却），得到粗醛原液；粗醛原液通过原液罐连续进入蒸馏塔进行脱水，塔温控制在98~99℃，塔底温度控制在102~104℃，塔下排出废水，废水中含醛量控制在0.08%以下</w:t>
      </w:r>
      <w:r>
        <w:rPr>
          <w:rFonts w:hint="eastAsia" w:ascii="Times New Roman" w:hAnsi="Times New Roman" w:cs="Times New Roman"/>
          <w:color w:val="0070C0"/>
          <w:kern w:val="0"/>
          <w:sz w:val="28"/>
          <w:szCs w:val="28"/>
          <w:lang w:val="en-US" w:eastAsia="zh-CN" w:bidi="ar"/>
        </w:rPr>
        <w:t>，废水经过蒸发器变成蒸汽后，经管道输送至水解车间循环利用</w:t>
      </w:r>
      <w:r>
        <w:rPr>
          <w:rFonts w:hint="default" w:ascii="Times New Roman" w:hAnsi="Times New Roman" w:eastAsia="宋体" w:cs="Times New Roman"/>
          <w:color w:val="C00000"/>
          <w:kern w:val="0"/>
          <w:sz w:val="28"/>
          <w:szCs w:val="28"/>
          <w:lang w:val="en-US" w:eastAsia="zh-CN" w:bidi="ar"/>
        </w:rPr>
        <w:t>；</w:t>
      </w:r>
      <w:r>
        <w:rPr>
          <w:rFonts w:hint="default" w:ascii="Times New Roman" w:hAnsi="Times New Roman" w:eastAsia="宋体" w:cs="Times New Roman"/>
          <w:color w:val="FF0000"/>
          <w:kern w:val="0"/>
          <w:sz w:val="28"/>
          <w:szCs w:val="28"/>
          <w:lang w:val="en-US" w:eastAsia="zh-CN" w:bidi="ar"/>
        </w:rPr>
        <w:t>蒸馏塔</w:t>
      </w:r>
      <w:r>
        <w:rPr>
          <w:rFonts w:hint="eastAsia" w:ascii="Times New Roman" w:hAnsi="Times New Roman" w:cs="Times New Roman"/>
          <w:color w:val="FF0000"/>
          <w:kern w:val="0"/>
          <w:sz w:val="28"/>
          <w:szCs w:val="28"/>
          <w:lang w:val="en-US" w:eastAsia="zh-CN" w:bidi="ar"/>
        </w:rPr>
        <w:t>采用真空泵抽真空，</w:t>
      </w:r>
      <w:r>
        <w:rPr>
          <w:rFonts w:hint="default" w:ascii="Times New Roman" w:hAnsi="Times New Roman" w:eastAsia="宋体" w:cs="Times New Roman"/>
          <w:color w:val="FF0000"/>
          <w:kern w:val="0"/>
          <w:sz w:val="28"/>
          <w:szCs w:val="28"/>
          <w:lang w:val="en-US" w:eastAsia="zh-CN" w:bidi="ar"/>
        </w:rPr>
        <w:t>塔顶馏出物（约含92%的糠醛）经冷凝后，进入分醛器（温度35~45℃），醛和水在分醛器内分层，醛重水轻，上层为水，下层为醛，水层回流入蒸馏塔，醛层送入中和槽</w:t>
      </w:r>
      <w:r>
        <w:rPr>
          <w:rFonts w:hint="eastAsia" w:ascii="Times New Roman" w:hAnsi="Times New Roman" w:cs="Times New Roman"/>
          <w:color w:val="FF0000"/>
          <w:kern w:val="0"/>
          <w:sz w:val="28"/>
          <w:szCs w:val="28"/>
          <w:lang w:val="en-US" w:eastAsia="zh-CN" w:bidi="ar"/>
        </w:rPr>
        <w:t>，抽真空尾气由冷凝设备冷凝回收</w:t>
      </w:r>
      <w:r>
        <w:rPr>
          <w:rFonts w:hint="default" w:ascii="Times New Roman" w:hAnsi="Times New Roman" w:eastAsia="宋体" w:cs="Times New Roman"/>
          <w:color w:val="000000"/>
          <w:kern w:val="0"/>
          <w:sz w:val="28"/>
          <w:szCs w:val="28"/>
          <w:lang w:val="en-US" w:eastAsia="zh-CN" w:bidi="ar"/>
        </w:rPr>
        <w:t>；向中和槽投入0.6%碳酸钠，中和掉醛层中的酸，制得纯度90~92%的毛醛；毛醛进入精制罐中，减压条件下精馏，塔底温度116℃，塔顶温度99℃，压力为0.4~0.5MPa。收集精醛，最后制得工业糠醛。</w:t>
      </w:r>
      <w:r>
        <w:rPr>
          <w:rFonts w:hint="default" w:ascii="Times New Roman" w:hAnsi="Times New Roman" w:eastAsia="宋体" w:cs="Times New Roman"/>
          <w:color w:val="FF0000"/>
          <w:kern w:val="0"/>
          <w:sz w:val="28"/>
          <w:szCs w:val="28"/>
          <w:lang w:val="en-US" w:eastAsia="zh-CN" w:bidi="ar"/>
        </w:rPr>
        <w:t>0.6%碳酸钠</w:t>
      </w:r>
      <w:r>
        <w:rPr>
          <w:rFonts w:hint="eastAsia" w:ascii="Times New Roman" w:hAnsi="Times New Roman" w:eastAsia="宋体" w:cs="Times New Roman"/>
          <w:color w:val="FF0000"/>
          <w:kern w:val="0"/>
          <w:sz w:val="28"/>
          <w:szCs w:val="28"/>
          <w:lang w:val="en-US" w:eastAsia="zh-CN" w:bidi="ar"/>
        </w:rPr>
        <w:t>由</w:t>
      </w:r>
      <w:r>
        <w:rPr>
          <w:rFonts w:hint="default" w:ascii="Times New Roman" w:hAnsi="Times New Roman" w:eastAsia="宋体" w:cs="Times New Roman"/>
          <w:color w:val="FF0000"/>
          <w:kern w:val="0"/>
          <w:sz w:val="28"/>
          <w:szCs w:val="28"/>
          <w:lang w:val="en-US" w:eastAsia="zh-CN" w:bidi="ar"/>
        </w:rPr>
        <w:t>碳酸钠</w:t>
      </w:r>
      <w:r>
        <w:rPr>
          <w:rFonts w:hint="eastAsia" w:ascii="Times New Roman" w:hAnsi="Times New Roman" w:eastAsia="宋体" w:cs="Times New Roman"/>
          <w:color w:val="FF0000"/>
          <w:kern w:val="0"/>
          <w:sz w:val="28"/>
          <w:szCs w:val="28"/>
          <w:lang w:val="en-US" w:eastAsia="zh-CN" w:bidi="ar"/>
        </w:rPr>
        <w:t>固体与水按照配比由人工进行配置。</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eastAsia="黑体"/>
          <w:b/>
          <w:sz w:val="21"/>
          <w:szCs w:val="21"/>
        </w:rPr>
      </w:pPr>
      <w:r>
        <w:object>
          <v:shape id="_x0000_i1027" o:spt="75" type="#_x0000_t75" style="height:177.1pt;width:459pt;" o:ole="t" filled="f" stroked="f" coordsize="21600,21600">
            <v:path/>
            <v:fill on="f" focussize="0,0"/>
            <v:stroke on="f"/>
            <v:imagedata r:id="rId17" o:title=""/>
            <o:lock v:ext="edit" aspectratio="t"/>
            <w10:wrap type="none"/>
            <w10:anchorlock/>
          </v:shape>
          <o:OLEObject Type="Embed" ProgID="Visio.Drawing.6" ShapeID="_x0000_i1027" DrawAspect="Content" ObjectID="_1468075727" r:id="rId16">
            <o:LockedField>false</o:LockedField>
          </o:OLEObject>
        </w:object>
      </w:r>
      <w:r>
        <w:rPr>
          <w:rFonts w:hint="eastAsia" w:ascii="Times New Roman" w:hAnsi="Times New Roman" w:eastAsia="黑体" w:cs="Times New Roman"/>
          <w:b w:val="0"/>
          <w:bCs w:val="0"/>
          <w:color w:val="auto"/>
          <w:kern w:val="28"/>
          <w:sz w:val="21"/>
          <w:szCs w:val="21"/>
          <w:lang w:val="en-US" w:eastAsia="zh-CN" w:bidi="ar-SA"/>
        </w:rPr>
        <w:t>图</w:t>
      </w:r>
      <w:r>
        <w:rPr>
          <w:rFonts w:hint="eastAsia" w:eastAsia="黑体" w:cs="Times New Roman"/>
          <w:b w:val="0"/>
          <w:bCs w:val="0"/>
          <w:color w:val="auto"/>
          <w:kern w:val="28"/>
          <w:sz w:val="21"/>
          <w:szCs w:val="21"/>
          <w:lang w:val="en-US" w:eastAsia="zh-CN" w:bidi="ar-SA"/>
        </w:rPr>
        <w:t>1-2</w:t>
      </w:r>
      <w:r>
        <w:rPr>
          <w:rFonts w:hint="eastAsia" w:ascii="Times New Roman" w:hAnsi="Times New Roman" w:eastAsia="黑体" w:cs="Times New Roman"/>
          <w:b w:val="0"/>
          <w:bCs w:val="0"/>
          <w:color w:val="auto"/>
          <w:kern w:val="28"/>
          <w:sz w:val="21"/>
          <w:szCs w:val="21"/>
          <w:lang w:val="en-US" w:eastAsia="zh-CN" w:bidi="ar-SA"/>
        </w:rPr>
        <w:t>糠醛生产工艺流程简图</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29" w:name="_Toc28294_WPSOffice_Level2"/>
      <w:bookmarkStart w:id="30" w:name="_Toc7524"/>
      <w:bookmarkStart w:id="31" w:name="_Toc532976983"/>
      <w:bookmarkStart w:id="32" w:name="_Toc12823_WPSOffice_Level2"/>
      <w:r>
        <w:rPr>
          <w:rFonts w:hint="eastAsia" w:ascii="楷体" w:hAnsi="楷体" w:eastAsia="楷体" w:cs="楷体"/>
          <w:b w:val="0"/>
          <w:bCs/>
          <w:kern w:val="2"/>
          <w:sz w:val="32"/>
          <w:szCs w:val="32"/>
          <w:lang w:val="en-US" w:eastAsia="zh-CN"/>
        </w:rPr>
        <w:t>主要设备设施</w:t>
      </w:r>
      <w:bookmarkEnd w:id="29"/>
      <w:bookmarkEnd w:id="30"/>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560" w:firstLineChars="200"/>
        <w:jc w:val="both"/>
        <w:textAlignment w:val="auto"/>
        <w:rPr>
          <w:rFonts w:hint="default" w:ascii="Times New Roman" w:hAnsi="Times New Roman" w:eastAsia="宋体" w:cs="Times New Roman"/>
          <w:b w:val="0"/>
          <w:bCs w:val="0"/>
          <w:color w:val="000000"/>
          <w:kern w:val="28"/>
          <w:sz w:val="21"/>
          <w:szCs w:val="21"/>
          <w:lang w:val="en-US" w:eastAsia="zh-CN" w:bidi="ar-SA"/>
        </w:rPr>
      </w:pPr>
      <w:r>
        <w:rPr>
          <w:rFonts w:hint="eastAsia" w:cs="Times New Roman"/>
          <w:sz w:val="28"/>
          <w:szCs w:val="28"/>
          <w:lang w:eastAsia="zh-CN"/>
        </w:rPr>
        <w:t>该企业</w:t>
      </w:r>
      <w:r>
        <w:rPr>
          <w:rFonts w:hint="default" w:ascii="Times New Roman" w:hAnsi="Times New Roman" w:eastAsia="宋体" w:cs="Times New Roman"/>
          <w:sz w:val="28"/>
          <w:szCs w:val="28"/>
        </w:rPr>
        <w:t>主要</w:t>
      </w:r>
      <w:r>
        <w:rPr>
          <w:rFonts w:hint="eastAsia" w:ascii="Times New Roman" w:hAnsi="Times New Roman" w:eastAsia="宋体" w:cs="Times New Roman"/>
          <w:sz w:val="28"/>
          <w:szCs w:val="28"/>
          <w:lang w:eastAsia="zh-CN"/>
        </w:rPr>
        <w:t>生产</w:t>
      </w:r>
      <w:r>
        <w:rPr>
          <w:rFonts w:hint="default" w:ascii="Times New Roman" w:hAnsi="Times New Roman" w:eastAsia="宋体" w:cs="Times New Roman"/>
          <w:sz w:val="28"/>
          <w:szCs w:val="28"/>
        </w:rPr>
        <w:t>设备</w:t>
      </w:r>
      <w:r>
        <w:rPr>
          <w:rFonts w:hint="eastAsia" w:ascii="Times New Roman" w:hAnsi="Times New Roman" w:eastAsia="宋体" w:cs="Times New Roman"/>
          <w:sz w:val="28"/>
          <w:szCs w:val="28"/>
          <w:lang w:eastAsia="zh-CN"/>
        </w:rPr>
        <w:t>设施情况</w:t>
      </w:r>
      <w:r>
        <w:rPr>
          <w:rFonts w:hint="default" w:ascii="Times New Roman" w:hAnsi="Times New Roman" w:eastAsia="宋体" w:cs="Times New Roman"/>
          <w:sz w:val="28"/>
          <w:szCs w:val="28"/>
        </w:rPr>
        <w:t>见表</w:t>
      </w:r>
      <w:r>
        <w:rPr>
          <w:rFonts w:hint="eastAsia" w:ascii="Times New Roman" w:hAnsi="Times New Roman" w:eastAsia="宋体" w:cs="Times New Roman"/>
          <w:sz w:val="28"/>
          <w:szCs w:val="28"/>
          <w:lang w:val="en-US" w:eastAsia="zh-CN"/>
        </w:rPr>
        <w:t>1</w:t>
      </w:r>
      <w:r>
        <w:rPr>
          <w:rFonts w:hint="eastAsia" w:cs="Times New Roman"/>
          <w:sz w:val="28"/>
          <w:szCs w:val="28"/>
          <w:lang w:val="en-US" w:eastAsia="zh-CN"/>
        </w:rPr>
        <w:t>-10</w:t>
      </w:r>
      <w:r>
        <w:rPr>
          <w:rFonts w:hint="eastAsia" w:ascii="Times New Roman" w:hAnsi="Times New Roman" w:eastAsia="宋体"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表1</w:t>
      </w:r>
      <w:r>
        <w:rPr>
          <w:rFonts w:hint="eastAsia" w:eastAsia="黑体" w:cs="Times New Roman"/>
          <w:b w:val="0"/>
          <w:bCs w:val="0"/>
          <w:color w:val="000000"/>
          <w:kern w:val="28"/>
          <w:sz w:val="21"/>
          <w:szCs w:val="21"/>
          <w:lang w:val="en-US" w:eastAsia="zh-CN" w:bidi="ar-SA"/>
        </w:rPr>
        <w:t>-10</w:t>
      </w:r>
      <w:r>
        <w:rPr>
          <w:rFonts w:hint="eastAsia" w:ascii="Times New Roman" w:hAnsi="Times New Roman" w:eastAsia="黑体" w:cs="Times New Roman"/>
          <w:b w:val="0"/>
          <w:bCs w:val="0"/>
          <w:color w:val="000000"/>
          <w:kern w:val="28"/>
          <w:sz w:val="21"/>
          <w:szCs w:val="21"/>
          <w:lang w:val="en-US" w:eastAsia="zh-CN" w:bidi="ar-SA"/>
        </w:rPr>
        <w:t xml:space="preserve"> 主要生产设备明细表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543"/>
        <w:gridCol w:w="2182"/>
        <w:gridCol w:w="1094"/>
        <w:gridCol w:w="1276"/>
        <w:gridCol w:w="851"/>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序号</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设备名称</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规格型号</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材质</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安装地点</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数量</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粉碎机</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锤式20kW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粉碎间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平筛</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1400×2400  7.5kW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粉碎间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平式提升机</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11kW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粉碎间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4</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平式提升机</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粉碎间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5</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储料仓</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35m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6</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配酸槽</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PVC</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7</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酸储罐</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厂房东侧</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8</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拌酸机</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7.5kW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白钢</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9</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分醛器</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3690×Φ500</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水解锅</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防腐衬里  15m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特种设备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11</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水解冷凝器</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70m</w:t>
            </w:r>
            <w:r>
              <w:rPr>
                <w:rFonts w:hint="eastAsia"/>
                <w:szCs w:val="21"/>
                <w:vertAlign w:val="superscript"/>
              </w:rPr>
              <w:t>2</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白钢、铜</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12</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空压机</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7.5kW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13</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泡罩塔</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Ф1000×14 m</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白钢</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14</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粗醛计量罐</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15</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粗醛储罐</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16</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中和釜</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17</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蒸馏釜</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A3</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18</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精馏塔</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Ф400×4 m</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磁环填料</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19</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冷凝器</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10m</w:t>
            </w:r>
            <w:r>
              <w:rPr>
                <w:rFonts w:hint="eastAsia"/>
                <w:szCs w:val="21"/>
                <w:vertAlign w:val="superscript"/>
              </w:rPr>
              <w:t>2</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白钢</w:t>
            </w: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20</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糠醛成品储罐</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30m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储罐区</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21</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糠醛成品储罐</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100m</w:t>
            </w:r>
            <w:r>
              <w:rPr>
                <w:rFonts w:hint="eastAsia"/>
                <w:szCs w:val="21"/>
                <w:vertAlign w:val="superscript"/>
              </w:rPr>
              <w:t>3</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储罐区</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22</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真空泵</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10kW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23</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循环水泵</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80m</w:t>
            </w:r>
            <w:r>
              <w:rPr>
                <w:rFonts w:hint="eastAsia"/>
                <w:szCs w:val="21"/>
                <w:vertAlign w:val="superscript"/>
              </w:rPr>
              <w:t>3</w:t>
            </w:r>
            <w:r>
              <w:rPr>
                <w:rFonts w:hint="eastAsia"/>
                <w:szCs w:val="21"/>
              </w:rPr>
              <w:t>/h  22kW</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主车间</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24</w:t>
            </w:r>
          </w:p>
        </w:tc>
        <w:tc>
          <w:tcPr>
            <w:tcW w:w="1543"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锅炉</w:t>
            </w:r>
          </w:p>
        </w:tc>
        <w:tc>
          <w:tcPr>
            <w:tcW w:w="2182"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SHG6-1.25-K6</w:t>
            </w:r>
          </w:p>
        </w:tc>
        <w:tc>
          <w:tcPr>
            <w:tcW w:w="1094"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p>
        </w:tc>
        <w:tc>
          <w:tcPr>
            <w:tcW w:w="1276"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锅炉房</w:t>
            </w:r>
          </w:p>
        </w:tc>
        <w:tc>
          <w:tcPr>
            <w:tcW w:w="851"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3</w:t>
            </w:r>
          </w:p>
        </w:tc>
        <w:tc>
          <w:tcPr>
            <w:tcW w:w="1178" w:type="dxa"/>
            <w:noWrap w:val="0"/>
            <w:vAlign w:val="center"/>
          </w:tcPr>
          <w:p>
            <w:pPr>
              <w:widowControl/>
              <w:kinsoku w:val="0"/>
              <w:autoSpaceDE w:val="0"/>
              <w:autoSpaceDN w:val="0"/>
              <w:adjustRightInd w:val="0"/>
              <w:snapToGrid w:val="0"/>
              <w:spacing w:before="65" w:line="240" w:lineRule="auto"/>
              <w:jc w:val="center"/>
              <w:textAlignment w:val="baseline"/>
              <w:rPr>
                <w:rFonts w:hint="eastAsia"/>
                <w:szCs w:val="21"/>
              </w:rPr>
            </w:pPr>
            <w:r>
              <w:rPr>
                <w:rFonts w:hint="eastAsia"/>
                <w:szCs w:val="21"/>
              </w:rPr>
              <w:t>特种设备</w:t>
            </w:r>
          </w:p>
        </w:tc>
      </w:tr>
      <w:bookmarkEnd w:id="31"/>
      <w:bookmarkEnd w:id="32"/>
    </w:tbl>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33" w:name="_Toc13874"/>
      <w:bookmarkStart w:id="34" w:name="_Toc18551_WPSOffice_Level2"/>
      <w:bookmarkStart w:id="35" w:name="_Toc532976985"/>
      <w:bookmarkStart w:id="36" w:name="_Toc13273_WPSOffice_Level2"/>
      <w:r>
        <w:rPr>
          <w:rFonts w:hint="eastAsia" w:ascii="楷体" w:hAnsi="楷体" w:eastAsia="楷体" w:cs="楷体"/>
          <w:b w:val="0"/>
          <w:bCs/>
          <w:kern w:val="2"/>
          <w:sz w:val="32"/>
          <w:szCs w:val="32"/>
          <w:lang w:val="en-US" w:eastAsia="zh-CN"/>
        </w:rPr>
        <w:t>公辅设施</w:t>
      </w:r>
      <w:bookmarkEnd w:id="33"/>
      <w:bookmarkEnd w:id="34"/>
      <w:bookmarkEnd w:id="35"/>
      <w:bookmarkEnd w:id="36"/>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给排水</w:t>
      </w:r>
    </w:p>
    <w:p>
      <w:pPr>
        <w:spacing w:line="360" w:lineRule="auto"/>
        <w:ind w:firstLine="560" w:firstLineChars="200"/>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（1）给水系统</w:t>
      </w:r>
    </w:p>
    <w:p>
      <w:pPr>
        <w:spacing w:line="360" w:lineRule="auto"/>
        <w:ind w:firstLine="560" w:firstLineChars="200"/>
        <w:rPr>
          <w:rFonts w:hint="eastAsia" w:ascii="Times New Roman" w:hAnsi="Times New Roman" w:eastAsia="宋体" w:cs="Times New Roman"/>
          <w:color w:val="auto"/>
          <w:sz w:val="28"/>
          <w:szCs w:val="28"/>
          <w:lang w:eastAsia="zh-CN"/>
        </w:rPr>
      </w:pP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生产用水，生活、消防用水取自地下水</w:t>
      </w:r>
      <w:r>
        <w:rPr>
          <w:rFonts w:hint="eastAsia" w:cs="Times New Roman"/>
          <w:color w:val="auto"/>
          <w:sz w:val="28"/>
          <w:szCs w:val="28"/>
          <w:lang w:val="en-US" w:eastAsia="zh-CN"/>
        </w:rPr>
        <w:t>及水塘</w:t>
      </w:r>
      <w:r>
        <w:rPr>
          <w:rFonts w:hint="eastAsia" w:ascii="Times New Roman" w:hAnsi="Times New Roman" w:eastAsia="宋体" w:cs="Times New Roman"/>
          <w:color w:val="auto"/>
          <w:sz w:val="28"/>
          <w:szCs w:val="28"/>
          <w:lang w:eastAsia="zh-CN"/>
        </w:rPr>
        <w:t>，厂区内有一座深水井</w:t>
      </w:r>
      <w:r>
        <w:rPr>
          <w:rFonts w:hint="eastAsia" w:cs="Times New Roman"/>
          <w:color w:val="auto"/>
          <w:sz w:val="28"/>
          <w:szCs w:val="28"/>
          <w:lang w:val="en-US" w:eastAsia="zh-CN"/>
        </w:rPr>
        <w:t>及2个水塘（其中一个作为消防水池）</w:t>
      </w:r>
      <w:r>
        <w:rPr>
          <w:rFonts w:hint="eastAsia" w:ascii="Times New Roman" w:hAnsi="Times New Roman" w:eastAsia="宋体" w:cs="Times New Roman"/>
          <w:color w:val="auto"/>
          <w:sz w:val="28"/>
          <w:szCs w:val="28"/>
          <w:lang w:eastAsia="zh-CN"/>
        </w:rPr>
        <w:t>，</w:t>
      </w:r>
      <w:r>
        <w:rPr>
          <w:rFonts w:hint="eastAsia" w:cs="Times New Roman"/>
          <w:color w:val="auto"/>
          <w:sz w:val="28"/>
          <w:szCs w:val="28"/>
          <w:lang w:eastAsia="zh-CN"/>
        </w:rPr>
        <w:t>供水能力</w:t>
      </w:r>
      <w:r>
        <w:rPr>
          <w:rFonts w:hint="eastAsia" w:cs="Times New Roman"/>
          <w:color w:val="auto"/>
          <w:sz w:val="28"/>
          <w:szCs w:val="28"/>
          <w:lang w:val="en-US" w:eastAsia="zh-CN"/>
        </w:rPr>
        <w:t>可</w:t>
      </w:r>
      <w:r>
        <w:rPr>
          <w:rFonts w:hint="eastAsia" w:cs="Times New Roman"/>
          <w:color w:val="auto"/>
          <w:sz w:val="28"/>
          <w:szCs w:val="28"/>
          <w:lang w:eastAsia="zh-CN"/>
        </w:rPr>
        <w:t>达</w:t>
      </w:r>
      <w:r>
        <w:rPr>
          <w:rFonts w:hint="eastAsia" w:cs="Times New Roman"/>
          <w:color w:val="auto"/>
          <w:sz w:val="28"/>
          <w:szCs w:val="28"/>
          <w:lang w:val="en-US" w:eastAsia="zh-CN"/>
        </w:rPr>
        <w:t>50m</w:t>
      </w:r>
      <w:r>
        <w:rPr>
          <w:rFonts w:hint="eastAsia" w:cs="Times New Roman"/>
          <w:color w:val="auto"/>
          <w:sz w:val="28"/>
          <w:szCs w:val="28"/>
          <w:vertAlign w:val="superscript"/>
          <w:lang w:val="en-US" w:eastAsia="zh-CN"/>
        </w:rPr>
        <w:t>3</w:t>
      </w:r>
      <w:r>
        <w:rPr>
          <w:rFonts w:hint="eastAsia" w:cs="Times New Roman"/>
          <w:color w:val="auto"/>
          <w:sz w:val="28"/>
          <w:szCs w:val="28"/>
          <w:lang w:val="en-US" w:eastAsia="zh-CN"/>
        </w:rPr>
        <w:t>/h，兼做消防水池的水塘配有2台</w:t>
      </w:r>
      <w:r>
        <w:rPr>
          <w:rFonts w:hint="eastAsia" w:ascii="Times New Roman" w:hAnsi="Times New Roman" w:eastAsia="宋体" w:cs="Times New Roman"/>
          <w:color w:val="auto"/>
          <w:sz w:val="28"/>
          <w:szCs w:val="28"/>
          <w:lang w:val="en-US" w:eastAsia="zh-CN"/>
        </w:rPr>
        <w:t>消防水泵</w:t>
      </w:r>
      <w:r>
        <w:rPr>
          <w:rFonts w:hint="eastAsia" w:ascii="Times New Roman" w:hAnsi="Times New Roman" w:eastAsia="宋体" w:cs="Times New Roman"/>
          <w:color w:val="auto"/>
          <w:sz w:val="28"/>
          <w:szCs w:val="28"/>
          <w:lang w:eastAsia="zh-CN"/>
        </w:rPr>
        <w:t>，满足</w:t>
      </w: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用水要求。</w:t>
      </w:r>
    </w:p>
    <w:p>
      <w:pPr>
        <w:spacing w:line="360" w:lineRule="auto"/>
        <w:ind w:firstLine="560" w:firstLineChars="200"/>
        <w:rPr>
          <w:rFonts w:hint="default"/>
          <w:color w:val="FF0000"/>
          <w:lang w:val="en-US" w:eastAsia="zh-CN"/>
        </w:rPr>
      </w:pPr>
      <w:r>
        <w:rPr>
          <w:rFonts w:hint="eastAsia" w:cs="Times New Roman"/>
          <w:color w:val="FF0000"/>
          <w:sz w:val="28"/>
          <w:szCs w:val="28"/>
          <w:lang w:eastAsia="zh-CN"/>
        </w:rPr>
        <w:t>该企业</w:t>
      </w:r>
      <w:r>
        <w:rPr>
          <w:rFonts w:hint="eastAsia" w:cs="Times New Roman"/>
          <w:color w:val="FF0000"/>
          <w:sz w:val="28"/>
          <w:szCs w:val="28"/>
          <w:lang w:val="en-US" w:eastAsia="zh-CN"/>
        </w:rPr>
        <w:t>生产过程采用循环冷却水进行换热，设置有2台循环水泵（一开一备），循环水经过冷凝器后通过管道流入凉水塔进行降温，然后流入循环水池再次循环使用。</w:t>
      </w:r>
    </w:p>
    <w:p>
      <w:pPr>
        <w:spacing w:line="360" w:lineRule="auto"/>
        <w:ind w:firstLine="560" w:firstLineChars="200"/>
        <w:rPr>
          <w:rFonts w:hint="default"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2</w:t>
      </w:r>
      <w:r>
        <w:rPr>
          <w:rFonts w:hint="eastAsia" w:ascii="Times New Roman" w:hAnsi="Times New Roman" w:eastAsia="宋体" w:cs="Times New Roman"/>
          <w:color w:val="auto"/>
          <w:sz w:val="28"/>
          <w:szCs w:val="28"/>
          <w:lang w:eastAsia="zh-CN"/>
        </w:rPr>
        <w:t>）排水系统</w:t>
      </w:r>
    </w:p>
    <w:p>
      <w:pPr>
        <w:spacing w:line="360" w:lineRule="auto"/>
        <w:ind w:firstLine="560" w:firstLineChars="200"/>
        <w:rPr>
          <w:rFonts w:hint="default" w:ascii="Times New Roman" w:hAnsi="Times New Roman" w:eastAsia="宋体" w:cs="Times New Roman"/>
          <w:color w:val="auto"/>
          <w:sz w:val="28"/>
          <w:szCs w:val="28"/>
          <w:lang w:eastAsia="zh-CN"/>
        </w:rPr>
      </w:pPr>
      <w:r>
        <w:rPr>
          <w:color w:val="000000"/>
          <w:sz w:val="28"/>
        </w:rPr>
        <w:t>厂区</w:t>
      </w:r>
      <w:r>
        <w:rPr>
          <w:rFonts w:hint="eastAsia"/>
          <w:color w:val="000000"/>
          <w:sz w:val="28"/>
        </w:rPr>
        <w:t>排水采用清污分流制，生产、生活污水经污水处理站处理达标后与清洁废水及厂区雨、雪水排放至污水系统</w:t>
      </w:r>
      <w:r>
        <w:rPr>
          <w:rFonts w:hint="eastAsia"/>
          <w:sz w:val="28"/>
        </w:rPr>
        <w:t>。</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供配电</w:t>
      </w:r>
    </w:p>
    <w:p>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kern w:val="2"/>
          <w:sz w:val="28"/>
          <w:szCs w:val="28"/>
          <w:lang w:val="en-US" w:eastAsia="zh-CN" w:bidi="ar-SA"/>
        </w:rPr>
      </w:pPr>
      <w:r>
        <w:rPr>
          <w:rFonts w:hint="default" w:ascii="Times New Roman" w:hAnsi="Times New Roman" w:eastAsia="宋体" w:cs="Times New Roman"/>
          <w:color w:val="000000"/>
          <w:kern w:val="2"/>
          <w:sz w:val="28"/>
          <w:szCs w:val="28"/>
          <w:lang w:val="en-US" w:eastAsia="zh-CN" w:bidi="ar-SA"/>
        </w:rPr>
        <w:t>该企业供电由黑山县供电部门提供，电源以10kV电缆引至厂区东侧杆式变压器（315kVA、10/0.4），变压器距厂区内低压配电室大约400m，电缆以埋地形式进入低压配电室，</w:t>
      </w:r>
      <w:r>
        <w:rPr>
          <w:rFonts w:hint="eastAsia" w:cs="Times New Roman"/>
          <w:color w:val="000000"/>
          <w:kern w:val="2"/>
          <w:sz w:val="28"/>
          <w:szCs w:val="28"/>
          <w:lang w:val="en-US" w:eastAsia="zh-CN" w:bidi="ar-SA"/>
        </w:rPr>
        <w:t>再</w:t>
      </w:r>
      <w:r>
        <w:rPr>
          <w:rFonts w:hint="default" w:ascii="Times New Roman" w:hAnsi="Times New Roman" w:eastAsia="宋体" w:cs="Times New Roman"/>
          <w:color w:val="000000"/>
          <w:kern w:val="2"/>
          <w:sz w:val="28"/>
          <w:szCs w:val="28"/>
          <w:lang w:val="en-US" w:eastAsia="zh-CN" w:bidi="ar-SA"/>
        </w:rPr>
        <w:t>由配电室接引至生产车间各用电设备，厂区配电电圧为380/220V，频率为50Hz。</w:t>
      </w:r>
      <w:r>
        <w:rPr>
          <w:rFonts w:hint="eastAsia" w:cs="Times New Roman"/>
          <w:color w:val="FF0000"/>
          <w:kern w:val="2"/>
          <w:sz w:val="28"/>
          <w:szCs w:val="28"/>
          <w:lang w:val="en-US" w:eastAsia="zh-CN" w:bidi="ar-SA"/>
        </w:rPr>
        <w:t>采用柴油发电机作为备用电源。</w:t>
      </w:r>
    </w:p>
    <w:p>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kern w:val="2"/>
          <w:sz w:val="28"/>
          <w:szCs w:val="28"/>
          <w:lang w:val="en-US" w:eastAsia="zh-CN" w:bidi="ar-SA"/>
        </w:rPr>
      </w:pPr>
      <w:r>
        <w:rPr>
          <w:rFonts w:hint="default" w:ascii="Times New Roman" w:hAnsi="Times New Roman" w:eastAsia="宋体" w:cs="Times New Roman"/>
          <w:color w:val="000000"/>
          <w:sz w:val="28"/>
        </w:rPr>
        <w:t>生产用电</w:t>
      </w:r>
      <w:r>
        <w:rPr>
          <w:rFonts w:hint="default" w:ascii="Times New Roman" w:hAnsi="Times New Roman" w:eastAsia="宋体" w:cs="Times New Roman"/>
          <w:color w:val="000000"/>
          <w:sz w:val="28"/>
          <w:lang w:eastAsia="zh-CN"/>
        </w:rPr>
        <w:t>和生活用电为三级负荷，</w:t>
      </w:r>
      <w:r>
        <w:rPr>
          <w:rFonts w:hint="default" w:ascii="Times New Roman" w:hAnsi="Times New Roman" w:eastAsia="宋体" w:cs="Times New Roman"/>
          <w:color w:val="000000"/>
          <w:sz w:val="28"/>
        </w:rPr>
        <w:t>消防用电</w:t>
      </w:r>
      <w:r>
        <w:rPr>
          <w:rFonts w:hint="default" w:ascii="Times New Roman" w:hAnsi="Times New Roman" w:eastAsia="宋体" w:cs="Times New Roman"/>
          <w:color w:val="000000"/>
          <w:sz w:val="28"/>
          <w:lang w:eastAsia="zh-CN"/>
        </w:rPr>
        <w:t>、</w:t>
      </w:r>
      <w:r>
        <w:rPr>
          <w:rFonts w:hint="default" w:ascii="Times New Roman" w:hAnsi="Times New Roman" w:eastAsia="宋体" w:cs="Times New Roman"/>
          <w:color w:val="000000"/>
          <w:kern w:val="2"/>
          <w:sz w:val="28"/>
          <w:szCs w:val="28"/>
          <w:lang w:val="en-US" w:eastAsia="zh-CN" w:bidi="ar-SA"/>
        </w:rPr>
        <w:t>应急照明系统</w:t>
      </w:r>
      <w:r>
        <w:rPr>
          <w:rFonts w:hint="default" w:ascii="Times New Roman" w:hAnsi="Times New Roman" w:eastAsia="宋体" w:cs="Times New Roman"/>
          <w:color w:val="000000"/>
          <w:sz w:val="28"/>
          <w:lang w:eastAsia="zh-CN"/>
        </w:rPr>
        <w:t>和可燃气体报警系统用电为二级负荷</w:t>
      </w:r>
      <w:r>
        <w:rPr>
          <w:rFonts w:hint="default" w:ascii="Times New Roman" w:hAnsi="Times New Roman" w:eastAsia="宋体" w:cs="Times New Roman"/>
          <w:color w:val="000000"/>
          <w:kern w:val="2"/>
          <w:sz w:val="28"/>
          <w:szCs w:val="28"/>
          <w:lang w:val="en-US" w:eastAsia="zh-CN" w:bidi="ar-SA"/>
        </w:rPr>
        <w:t>，供电能力可以满足要求。</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消防系统</w:t>
      </w:r>
    </w:p>
    <w:p>
      <w:pPr>
        <w:ind w:firstLine="560" w:firstLineChars="200"/>
        <w:rPr>
          <w:rFonts w:hint="eastAsia" w:ascii="Times New Roman" w:hAnsi="宋体" w:eastAsia="宋体" w:cs="Times New Roman"/>
          <w:color w:val="000000"/>
          <w:sz w:val="28"/>
          <w:szCs w:val="28"/>
          <w:lang w:eastAsia="zh-CN"/>
        </w:rPr>
      </w:pPr>
      <w:r>
        <w:rPr>
          <w:rFonts w:hint="eastAsia" w:ascii="Times New Roman" w:hAnsi="宋体" w:eastAsia="宋体" w:cs="Times New Roman"/>
          <w:color w:val="000000"/>
          <w:sz w:val="28"/>
          <w:szCs w:val="28"/>
          <w:lang w:eastAsia="zh-CN"/>
        </w:rPr>
        <w:t>（</w:t>
      </w:r>
      <w:r>
        <w:rPr>
          <w:rFonts w:hint="eastAsia" w:ascii="Times New Roman" w:hAnsi="宋体" w:eastAsia="宋体" w:cs="Times New Roman"/>
          <w:color w:val="000000"/>
          <w:sz w:val="28"/>
          <w:szCs w:val="28"/>
          <w:lang w:val="en-US" w:eastAsia="zh-CN"/>
        </w:rPr>
        <w:t>1</w:t>
      </w:r>
      <w:r>
        <w:rPr>
          <w:rFonts w:hint="eastAsia" w:ascii="Times New Roman" w:hAnsi="宋体" w:eastAsia="宋体" w:cs="Times New Roman"/>
          <w:color w:val="000000"/>
          <w:sz w:val="28"/>
          <w:szCs w:val="28"/>
          <w:lang w:eastAsia="zh-CN"/>
        </w:rPr>
        <w:t>）消防水系统</w:t>
      </w:r>
    </w:p>
    <w:p>
      <w:pPr>
        <w:pStyle w:val="2"/>
        <w:spacing w:line="360" w:lineRule="auto"/>
        <w:rPr>
          <w:rFonts w:hint="eastAsia" w:ascii="Times New Roman" w:hAnsi="Times New Roman" w:eastAsia="宋体" w:cs="Times New Roman"/>
          <w:snapToGrid w:val="0"/>
          <w:color w:val="000000"/>
          <w:kern w:val="0"/>
          <w:sz w:val="28"/>
          <w:szCs w:val="28"/>
          <w:lang w:val="en-US" w:eastAsia="zh-CN"/>
        </w:rPr>
      </w:pPr>
      <w:r>
        <w:rPr>
          <w:rFonts w:hint="eastAsia" w:ascii="Times New Roman" w:hAnsi="Times New Roman" w:eastAsia="宋体" w:cs="Times New Roman"/>
          <w:snapToGrid w:val="0"/>
          <w:color w:val="000000"/>
          <w:kern w:val="0"/>
          <w:sz w:val="28"/>
          <w:szCs w:val="28"/>
          <w:lang w:val="en-US" w:eastAsia="zh-CN"/>
        </w:rPr>
        <w:t>根据《消防给水及消火栓系统技术规范》（GB50974-2014）的规定，核实企业消防用水情况，其同一时间火灾次数按1次计。</w:t>
      </w:r>
    </w:p>
    <w:p>
      <w:pPr>
        <w:ind w:firstLine="560" w:firstLineChars="200"/>
        <w:rPr>
          <w:rFonts w:hint="eastAsia" w:ascii="Times New Roman" w:hAnsi="宋体" w:eastAsia="宋体" w:cs="Times New Roman"/>
          <w:color w:val="000000"/>
          <w:sz w:val="28"/>
          <w:szCs w:val="28"/>
        </w:rPr>
      </w:pPr>
      <w:r>
        <w:rPr>
          <w:rFonts w:hint="eastAsia" w:hAnsi="宋体" w:cs="Times New Roman"/>
          <w:color w:val="000000"/>
          <w:sz w:val="28"/>
          <w:szCs w:val="28"/>
          <w:lang w:eastAsia="zh-CN"/>
        </w:rPr>
        <w:t>该企业</w:t>
      </w:r>
      <w:r>
        <w:rPr>
          <w:rFonts w:hint="eastAsia" w:ascii="Times New Roman" w:hAnsi="宋体" w:eastAsia="宋体" w:cs="Times New Roman"/>
          <w:color w:val="000000"/>
          <w:sz w:val="28"/>
          <w:szCs w:val="28"/>
          <w:lang w:eastAsia="zh-CN"/>
        </w:rPr>
        <w:t>消防用水量最大</w:t>
      </w:r>
      <w:r>
        <w:rPr>
          <w:rFonts w:hint="eastAsia" w:ascii="Times New Roman" w:hAnsi="宋体" w:eastAsia="宋体" w:cs="Times New Roman"/>
          <w:color w:val="000000"/>
          <w:sz w:val="28"/>
          <w:szCs w:val="28"/>
        </w:rPr>
        <w:t>的建筑物为</w:t>
      </w:r>
      <w:r>
        <w:rPr>
          <w:rFonts w:hint="eastAsia" w:ascii="Times New Roman" w:hAnsi="宋体" w:eastAsia="宋体" w:cs="Times New Roman"/>
          <w:color w:val="000000"/>
          <w:sz w:val="28"/>
          <w:szCs w:val="28"/>
          <w:lang w:eastAsia="zh-CN"/>
        </w:rPr>
        <w:t>玉米芯堆场，最大储存量</w:t>
      </w:r>
      <w:r>
        <w:rPr>
          <w:rFonts w:hint="eastAsia" w:hAnsi="宋体" w:cs="Times New Roman"/>
          <w:color w:val="000000"/>
          <w:sz w:val="28"/>
          <w:szCs w:val="28"/>
          <w:lang w:val="en-US" w:eastAsia="zh-CN"/>
        </w:rPr>
        <w:t>3</w:t>
      </w:r>
      <w:r>
        <w:rPr>
          <w:rFonts w:hint="eastAsia" w:ascii="Times New Roman" w:hAnsi="宋体" w:eastAsia="宋体" w:cs="Times New Roman"/>
          <w:color w:val="000000"/>
          <w:sz w:val="28"/>
          <w:szCs w:val="28"/>
          <w:lang w:val="en-US" w:eastAsia="zh-CN"/>
        </w:rPr>
        <w:t>000t</w:t>
      </w:r>
      <w:r>
        <w:rPr>
          <w:rFonts w:hint="eastAsia" w:ascii="Times New Roman" w:hAnsi="宋体" w:eastAsia="宋体" w:cs="Times New Roman"/>
          <w:color w:val="000000"/>
          <w:sz w:val="28"/>
          <w:szCs w:val="28"/>
        </w:rPr>
        <w:t>，火灾危险类别</w:t>
      </w:r>
      <w:r>
        <w:rPr>
          <w:rFonts w:hint="eastAsia" w:ascii="Times New Roman" w:hAnsi="宋体" w:eastAsia="宋体" w:cs="Times New Roman"/>
          <w:color w:val="000000"/>
          <w:sz w:val="28"/>
          <w:szCs w:val="28"/>
          <w:lang w:eastAsia="zh-CN"/>
        </w:rPr>
        <w:t>为丙</w:t>
      </w:r>
      <w:r>
        <w:rPr>
          <w:rFonts w:hint="eastAsia" w:ascii="Times New Roman" w:hAnsi="宋体" w:eastAsia="宋体" w:cs="Times New Roman"/>
          <w:color w:val="000000"/>
          <w:sz w:val="28"/>
          <w:szCs w:val="28"/>
        </w:rPr>
        <w:t>类，其室外消防用水量室外消火栓</w:t>
      </w:r>
      <w:r>
        <w:rPr>
          <w:rFonts w:hint="eastAsia" w:ascii="Times New Roman" w:hAnsi="宋体" w:eastAsia="宋体" w:cs="Times New Roman"/>
          <w:color w:val="000000"/>
          <w:sz w:val="28"/>
          <w:szCs w:val="28"/>
          <w:lang w:val="en-US" w:eastAsia="zh-CN"/>
        </w:rPr>
        <w:t>35</w:t>
      </w:r>
      <w:r>
        <w:rPr>
          <w:rFonts w:hint="eastAsia" w:ascii="Times New Roman" w:hAnsi="宋体" w:eastAsia="宋体" w:cs="Times New Roman"/>
          <w:color w:val="000000"/>
          <w:sz w:val="28"/>
          <w:szCs w:val="28"/>
        </w:rPr>
        <w:t>L/s，火灾延续时间按</w:t>
      </w:r>
      <w:r>
        <w:rPr>
          <w:rFonts w:hint="eastAsia" w:ascii="Times New Roman" w:hAnsi="宋体" w:eastAsia="宋体" w:cs="Times New Roman"/>
          <w:color w:val="000000"/>
          <w:sz w:val="28"/>
          <w:szCs w:val="28"/>
          <w:lang w:val="en-US" w:eastAsia="zh-CN"/>
        </w:rPr>
        <w:t>6</w:t>
      </w:r>
      <w:r>
        <w:rPr>
          <w:rFonts w:hint="eastAsia" w:ascii="Times New Roman" w:hAnsi="宋体" w:eastAsia="宋体" w:cs="Times New Roman"/>
          <w:color w:val="000000"/>
          <w:sz w:val="28"/>
          <w:szCs w:val="28"/>
        </w:rPr>
        <w:t>小时计</w:t>
      </w:r>
      <w:r>
        <w:rPr>
          <w:rFonts w:hint="eastAsia" w:ascii="Times New Roman" w:hAnsi="宋体" w:eastAsia="宋体" w:cs="Times New Roman"/>
          <w:color w:val="000000"/>
          <w:sz w:val="28"/>
          <w:szCs w:val="28"/>
          <w:lang w:eastAsia="zh-CN"/>
        </w:rPr>
        <w:t>，则玉米芯堆场</w:t>
      </w:r>
      <w:r>
        <w:rPr>
          <w:rFonts w:hint="eastAsia" w:ascii="Times New Roman" w:hAnsi="宋体" w:eastAsia="宋体" w:cs="Times New Roman"/>
          <w:color w:val="000000"/>
          <w:sz w:val="28"/>
          <w:szCs w:val="28"/>
        </w:rPr>
        <w:t>消防用水量为</w:t>
      </w:r>
      <w:r>
        <w:rPr>
          <w:rFonts w:hint="eastAsia" w:ascii="Times New Roman" w:hAnsi="宋体" w:eastAsia="宋体" w:cs="Times New Roman"/>
          <w:color w:val="000000"/>
          <w:sz w:val="28"/>
          <w:szCs w:val="28"/>
          <w:lang w:val="en-US" w:eastAsia="zh-CN"/>
        </w:rPr>
        <w:t>35×6×3600×10</w:t>
      </w:r>
      <w:r>
        <w:rPr>
          <w:rFonts w:hint="eastAsia" w:ascii="Times New Roman" w:hAnsi="宋体" w:eastAsia="宋体" w:cs="Times New Roman"/>
          <w:color w:val="000000"/>
          <w:sz w:val="28"/>
          <w:szCs w:val="28"/>
          <w:vertAlign w:val="superscript"/>
          <w:lang w:val="en-US" w:eastAsia="zh-CN"/>
        </w:rPr>
        <w:t>-3</w:t>
      </w:r>
      <w:r>
        <w:rPr>
          <w:rFonts w:hint="eastAsia" w:ascii="Times New Roman" w:hAnsi="宋体" w:eastAsia="宋体" w:cs="Times New Roman"/>
          <w:color w:val="000000"/>
          <w:sz w:val="28"/>
          <w:szCs w:val="28"/>
          <w:lang w:val="en-US" w:eastAsia="zh-CN"/>
        </w:rPr>
        <w:t>=756</w:t>
      </w:r>
      <w:r>
        <w:rPr>
          <w:rFonts w:hint="eastAsia" w:ascii="Times New Roman" w:hAnsi="宋体" w:eastAsia="宋体" w:cs="Times New Roman"/>
          <w:color w:val="000000"/>
          <w:sz w:val="28"/>
          <w:szCs w:val="28"/>
        </w:rPr>
        <w:t>m</w:t>
      </w:r>
      <w:r>
        <w:rPr>
          <w:rFonts w:hint="eastAsia" w:ascii="Times New Roman" w:hAnsi="宋体" w:eastAsia="宋体" w:cs="Times New Roman"/>
          <w:color w:val="000000"/>
          <w:sz w:val="28"/>
          <w:szCs w:val="28"/>
          <w:vertAlign w:val="superscript"/>
        </w:rPr>
        <w:t>3</w:t>
      </w:r>
      <w:r>
        <w:rPr>
          <w:rFonts w:hint="eastAsia" w:ascii="Times New Roman" w:hAnsi="宋体" w:eastAsia="宋体" w:cs="Times New Roman"/>
          <w:color w:val="000000"/>
          <w:sz w:val="28"/>
          <w:szCs w:val="28"/>
        </w:rPr>
        <w:t>。</w:t>
      </w:r>
    </w:p>
    <w:p>
      <w:pPr>
        <w:ind w:firstLine="560" w:firstLineChars="200"/>
        <w:rPr>
          <w:rFonts w:hint="eastAsia" w:ascii="Times New Roman" w:hAnsi="Times New Roman" w:eastAsia="宋体" w:cs="Times New Roman"/>
          <w:snapToGrid w:val="0"/>
          <w:color w:val="000000"/>
          <w:kern w:val="0"/>
          <w:sz w:val="28"/>
          <w:szCs w:val="28"/>
          <w:highlight w:val="none"/>
          <w:lang w:val="en-US" w:eastAsia="zh-CN"/>
        </w:rPr>
      </w:pPr>
      <w:r>
        <w:rPr>
          <w:rFonts w:hint="eastAsia" w:ascii="Times New Roman" w:hAnsi="Times New Roman" w:eastAsia="宋体" w:cs="Times New Roman"/>
          <w:bCs/>
          <w:color w:val="000000"/>
          <w:kern w:val="2"/>
          <w:sz w:val="28"/>
          <w:szCs w:val="28"/>
          <w:lang w:val="en-US" w:eastAsia="zh-CN" w:bidi="ar-SA"/>
        </w:rPr>
        <w:t>厂区内设有</w:t>
      </w:r>
      <w:r>
        <w:rPr>
          <w:rFonts w:hint="eastAsia" w:cs="Times New Roman"/>
          <w:bCs/>
          <w:color w:val="000000"/>
          <w:kern w:val="2"/>
          <w:sz w:val="28"/>
          <w:szCs w:val="28"/>
          <w:lang w:val="en-US" w:eastAsia="zh-CN" w:bidi="ar-SA"/>
        </w:rPr>
        <w:t>1</w:t>
      </w:r>
      <w:r>
        <w:rPr>
          <w:rFonts w:hint="eastAsia" w:ascii="Times New Roman" w:hAnsi="Times New Roman" w:eastAsia="宋体" w:cs="Times New Roman"/>
          <w:bCs/>
          <w:color w:val="000000"/>
          <w:kern w:val="2"/>
          <w:sz w:val="28"/>
          <w:szCs w:val="28"/>
          <w:lang w:val="en-US" w:eastAsia="zh-CN" w:bidi="ar-SA"/>
        </w:rPr>
        <w:t>座</w:t>
      </w:r>
      <w:r>
        <w:rPr>
          <w:rFonts w:hint="eastAsia" w:cs="Times New Roman"/>
          <w:bCs/>
          <w:color w:val="000000"/>
          <w:kern w:val="2"/>
          <w:sz w:val="28"/>
          <w:szCs w:val="28"/>
          <w:lang w:val="en-US" w:eastAsia="zh-CN" w:bidi="ar-SA"/>
        </w:rPr>
        <w:t>100</w:t>
      </w:r>
      <w:r>
        <w:rPr>
          <w:rFonts w:hint="eastAsia" w:ascii="Times New Roman" w:hAnsi="Times New Roman" w:eastAsia="宋体" w:cs="Times New Roman"/>
          <w:bCs/>
          <w:color w:val="000000"/>
          <w:kern w:val="2"/>
          <w:sz w:val="28"/>
          <w:szCs w:val="28"/>
          <w:lang w:val="en-US" w:eastAsia="zh-CN" w:bidi="ar-SA"/>
        </w:rPr>
        <w:t>0m</w:t>
      </w:r>
      <w:r>
        <w:rPr>
          <w:rFonts w:hint="eastAsia" w:ascii="Times New Roman" w:hAnsi="Times New Roman" w:eastAsia="宋体" w:cs="Times New Roman"/>
          <w:bCs/>
          <w:color w:val="000000"/>
          <w:kern w:val="2"/>
          <w:sz w:val="28"/>
          <w:szCs w:val="28"/>
          <w:vertAlign w:val="superscript"/>
          <w:lang w:val="en-US" w:eastAsia="zh-CN" w:bidi="ar-SA"/>
        </w:rPr>
        <w:t>3</w:t>
      </w:r>
      <w:r>
        <w:rPr>
          <w:rFonts w:hint="eastAsia" w:ascii="Times New Roman" w:hAnsi="Times New Roman" w:eastAsia="宋体" w:cs="Times New Roman"/>
          <w:bCs/>
          <w:color w:val="000000"/>
          <w:kern w:val="2"/>
          <w:sz w:val="28"/>
          <w:szCs w:val="28"/>
          <w:lang w:val="en-US" w:eastAsia="zh-CN" w:bidi="ar-SA"/>
        </w:rPr>
        <w:t>消防水池，并设</w:t>
      </w:r>
      <w:r>
        <w:rPr>
          <w:rFonts w:hint="eastAsia" w:ascii="Times New Roman" w:hAnsi="Times New Roman" w:eastAsia="宋体" w:cs="Times New Roman"/>
          <w:color w:val="000000"/>
          <w:sz w:val="28"/>
          <w:szCs w:val="28"/>
          <w:lang w:eastAsia="zh-CN"/>
        </w:rPr>
        <w:t>有一座深水井，</w:t>
      </w:r>
      <w:r>
        <w:rPr>
          <w:rFonts w:hint="eastAsia" w:cs="Times New Roman"/>
          <w:color w:val="auto"/>
          <w:sz w:val="28"/>
          <w:szCs w:val="28"/>
          <w:lang w:eastAsia="zh-CN"/>
        </w:rPr>
        <w:t>供水能力达</w:t>
      </w:r>
      <w:r>
        <w:rPr>
          <w:rFonts w:hint="eastAsia" w:cs="Times New Roman"/>
          <w:color w:val="auto"/>
          <w:sz w:val="28"/>
          <w:szCs w:val="28"/>
          <w:lang w:val="en-US" w:eastAsia="zh-CN"/>
        </w:rPr>
        <w:t>50m</w:t>
      </w:r>
      <w:r>
        <w:rPr>
          <w:rFonts w:hint="eastAsia" w:cs="Times New Roman"/>
          <w:color w:val="auto"/>
          <w:sz w:val="28"/>
          <w:szCs w:val="28"/>
          <w:vertAlign w:val="superscript"/>
          <w:lang w:val="en-US" w:eastAsia="zh-CN"/>
        </w:rPr>
        <w:t>3</w:t>
      </w:r>
      <w:r>
        <w:rPr>
          <w:rFonts w:hint="eastAsia" w:cs="Times New Roman"/>
          <w:color w:val="auto"/>
          <w:sz w:val="28"/>
          <w:szCs w:val="28"/>
          <w:lang w:val="en-US" w:eastAsia="zh-CN"/>
        </w:rPr>
        <w:t>/h</w:t>
      </w:r>
      <w:r>
        <w:rPr>
          <w:rFonts w:hint="eastAsia" w:ascii="Times New Roman" w:hAnsi="Times New Roman" w:eastAsia="宋体" w:cs="Times New Roman"/>
          <w:color w:val="000000"/>
          <w:sz w:val="28"/>
          <w:szCs w:val="28"/>
          <w:lang w:val="en-US" w:eastAsia="zh-CN"/>
        </w:rPr>
        <w:t>，</w:t>
      </w:r>
      <w:r>
        <w:rPr>
          <w:rFonts w:hint="eastAsia" w:ascii="Times New Roman" w:hAnsi="Times New Roman" w:eastAsia="宋体" w:cs="Times New Roman"/>
          <w:bCs/>
          <w:color w:val="000000"/>
          <w:kern w:val="2"/>
          <w:sz w:val="28"/>
          <w:szCs w:val="28"/>
          <w:lang w:val="en-US" w:eastAsia="zh-CN" w:bidi="ar-SA"/>
        </w:rPr>
        <w:t>对消防水池进行补水，</w:t>
      </w:r>
      <w:r>
        <w:rPr>
          <w:rFonts w:ascii="Times New Roman" w:hAnsi="宋体" w:eastAsia="宋体" w:cs="Times New Roman"/>
          <w:color w:val="000000"/>
          <w:sz w:val="28"/>
          <w:szCs w:val="28"/>
        </w:rPr>
        <w:t>可以满足消防用水量的需求。</w:t>
      </w:r>
    </w:p>
    <w:p>
      <w:pPr>
        <w:numPr>
          <w:ilvl w:val="0"/>
          <w:numId w:val="8"/>
        </w:numPr>
        <w:ind w:firstLine="560" w:firstLineChars="200"/>
        <w:rPr>
          <w:rFonts w:hint="eastAsia" w:ascii="Times New Roman" w:hAnsi="宋体" w:eastAsia="宋体" w:cs="Times New Roman"/>
          <w:color w:val="000000"/>
          <w:sz w:val="28"/>
          <w:szCs w:val="28"/>
          <w:lang w:val="en-US" w:eastAsia="zh-CN"/>
        </w:rPr>
      </w:pPr>
      <w:r>
        <w:rPr>
          <w:rFonts w:hint="eastAsia" w:ascii="Times New Roman" w:hAnsi="宋体" w:eastAsia="宋体" w:cs="Times New Roman"/>
          <w:color w:val="000000"/>
          <w:sz w:val="28"/>
          <w:szCs w:val="28"/>
          <w:lang w:val="en-US" w:eastAsia="zh-CN"/>
        </w:rPr>
        <w:t>消防设施</w:t>
      </w:r>
    </w:p>
    <w:p>
      <w:pPr>
        <w:spacing w:line="360" w:lineRule="auto"/>
        <w:ind w:firstLine="560" w:firstLineChars="200"/>
        <w:rPr>
          <w:rFonts w:hint="default" w:ascii="Times New Roman" w:hAnsi="Times New Roman" w:eastAsia="宋体" w:cs="Times New Roman"/>
          <w:bCs/>
          <w:color w:val="000000"/>
          <w:kern w:val="2"/>
          <w:sz w:val="28"/>
          <w:szCs w:val="28"/>
          <w:lang w:val="en-US" w:eastAsia="zh-CN" w:bidi="ar-SA"/>
        </w:rPr>
      </w:pPr>
      <w:r>
        <w:rPr>
          <w:rFonts w:hint="default" w:ascii="Times New Roman" w:hAnsi="Times New Roman" w:eastAsia="宋体" w:cs="Times New Roman"/>
          <w:bCs/>
          <w:color w:val="000000"/>
          <w:kern w:val="2"/>
          <w:sz w:val="28"/>
          <w:szCs w:val="28"/>
          <w:lang w:val="en-US" w:eastAsia="zh-CN" w:bidi="ar-SA"/>
        </w:rPr>
        <w:t>根据《建筑灭火器配置设计规范》中有关规定，在生产车间内配备有8kg干粉灭火器10个，4kg干粉灭火器2个；锅炉房配有8kg干粉灭火器10个，4kg干粉灭火器2个；污水处理车间配有8kg干粉灭火器6个；罐区配有35kg干粉灭火器2个；办公室配有4kg干粉灭火器6个。</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防雷、防静电接地</w:t>
      </w:r>
    </w:p>
    <w:p>
      <w:pPr>
        <w:spacing w:line="360" w:lineRule="auto"/>
        <w:ind w:firstLine="560" w:firstLineChars="200"/>
        <w:rPr>
          <w:rFonts w:hint="eastAsia" w:ascii="Times New Roman" w:hAnsi="Times New Roman" w:eastAsia="宋体" w:cs="Times New Roman"/>
          <w:color w:val="000000"/>
          <w:sz w:val="28"/>
          <w:lang w:eastAsia="zh-CN"/>
        </w:rPr>
      </w:pPr>
      <w:r>
        <w:rPr>
          <w:rFonts w:hint="eastAsia" w:ascii="Times New Roman" w:hAnsi="Times New Roman" w:eastAsia="宋体" w:cs="Times New Roman"/>
          <w:color w:val="000000"/>
          <w:sz w:val="28"/>
          <w:lang w:val="en-US" w:eastAsia="zh-CN"/>
        </w:rPr>
        <w:t>根据《建筑物防雷设计规范》（GB50057-2010），</w:t>
      </w:r>
      <w:r>
        <w:rPr>
          <w:rFonts w:hint="eastAsia" w:cs="Times New Roman"/>
          <w:color w:val="000000"/>
          <w:sz w:val="28"/>
          <w:lang w:val="en-US" w:eastAsia="zh-CN"/>
        </w:rPr>
        <w:t>该企业</w:t>
      </w:r>
      <w:r>
        <w:rPr>
          <w:rFonts w:hint="eastAsia" w:ascii="Times New Roman" w:hAnsi="Times New Roman" w:eastAsia="宋体" w:cs="Times New Roman"/>
          <w:color w:val="000000"/>
          <w:sz w:val="28"/>
          <w:lang w:val="en-US" w:eastAsia="zh-CN"/>
        </w:rPr>
        <w:t>生产车间、罐区为第二类防雷建筑物，</w:t>
      </w:r>
      <w:r>
        <w:rPr>
          <w:rFonts w:hint="eastAsia" w:ascii="Times New Roman" w:hAnsi="Times New Roman" w:eastAsia="宋体" w:cs="Times New Roman"/>
          <w:color w:val="000000"/>
          <w:sz w:val="28"/>
          <w:lang w:eastAsia="zh-CN"/>
        </w:rPr>
        <w:t>其他建筑按第三类防雷建筑考虑。</w:t>
      </w:r>
    </w:p>
    <w:p>
      <w:pPr>
        <w:spacing w:line="360" w:lineRule="auto"/>
        <w:ind w:firstLine="560" w:firstLineChars="200"/>
        <w:rPr>
          <w:rFonts w:hint="eastAsia" w:ascii="Times New Roman" w:hAnsi="Times New Roman" w:eastAsia="宋体" w:cs="Times New Roman"/>
          <w:color w:val="000000"/>
          <w:sz w:val="28"/>
          <w:lang w:eastAsia="zh-CN"/>
        </w:rPr>
      </w:pPr>
      <w:r>
        <w:rPr>
          <w:rFonts w:hint="eastAsia" w:ascii="Times New Roman" w:hAnsi="Times New Roman" w:eastAsia="宋体" w:cs="Times New Roman"/>
          <w:color w:val="000000"/>
          <w:sz w:val="28"/>
          <w:lang w:eastAsia="zh-CN"/>
        </w:rPr>
        <w:t>精醛罐和硫酸罐设接地线，正常情况下不带电的电气设备金属外壳均可靠接地，接地系统采用TN-S系统，主要包括：电气系统工作接地、设备安全接地、防静电接地、防雷保护接地等。</w:t>
      </w:r>
    </w:p>
    <w:p>
      <w:pPr>
        <w:spacing w:line="360" w:lineRule="auto"/>
        <w:ind w:firstLine="560" w:firstLineChars="200"/>
        <w:rPr>
          <w:rFonts w:hint="eastAsia" w:ascii="Times New Roman" w:hAnsi="Times New Roman" w:eastAsia="宋体" w:cs="Times New Roman"/>
          <w:color w:val="000000"/>
          <w:sz w:val="28"/>
          <w:lang w:eastAsia="zh-CN"/>
        </w:rPr>
      </w:pPr>
      <w:r>
        <w:rPr>
          <w:rFonts w:hint="eastAsia" w:ascii="Times New Roman" w:hAnsi="Times New Roman" w:eastAsia="宋体" w:cs="Times New Roman"/>
          <w:color w:val="000000"/>
          <w:sz w:val="28"/>
          <w:lang w:eastAsia="zh-CN"/>
        </w:rPr>
        <w:t>防雷、接地设施情况详见防雷检测报告。</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采暖、通风</w:t>
      </w:r>
    </w:p>
    <w:p>
      <w:pPr>
        <w:spacing w:line="360" w:lineRule="auto"/>
        <w:ind w:firstLine="560" w:firstLineChars="200"/>
        <w:rPr>
          <w:rFonts w:hint="eastAsia" w:ascii="Times New Roman" w:hAnsi="Times New Roman" w:eastAsia="宋体" w:cs="Times New Roman"/>
          <w:color w:val="000000"/>
          <w:sz w:val="28"/>
          <w:lang w:val="en-US" w:eastAsia="zh-CN"/>
        </w:rPr>
      </w:pPr>
      <w:r>
        <w:rPr>
          <w:rFonts w:hint="eastAsia" w:ascii="Times New Roman" w:hAnsi="Times New Roman" w:eastAsia="宋体" w:cs="Times New Roman"/>
          <w:color w:val="000000"/>
          <w:sz w:val="28"/>
          <w:lang w:val="en-US" w:eastAsia="zh-CN"/>
        </w:rPr>
        <w:t>（1）采暖</w:t>
      </w:r>
    </w:p>
    <w:p>
      <w:pPr>
        <w:spacing w:line="360" w:lineRule="auto"/>
        <w:ind w:firstLine="560" w:firstLineChars="200"/>
        <w:rPr>
          <w:rFonts w:hint="eastAsia" w:ascii="Times New Roman" w:hAnsi="Times New Roman" w:eastAsia="宋体" w:cs="Times New Roman"/>
          <w:color w:val="000000"/>
          <w:sz w:val="28"/>
          <w:lang w:val="en-US" w:eastAsia="zh-CN"/>
        </w:rPr>
      </w:pPr>
      <w:r>
        <w:rPr>
          <w:rFonts w:hint="eastAsia" w:ascii="Times New Roman" w:hAnsi="Times New Roman" w:eastAsia="宋体" w:cs="Times New Roman"/>
          <w:color w:val="000000"/>
          <w:sz w:val="28"/>
          <w:lang w:val="en-US" w:eastAsia="zh-CN"/>
        </w:rPr>
        <w:t>厂区所需热负荷为生产用热，无采暖热负荷，办公室采用电取暖。（2）通风</w:t>
      </w:r>
    </w:p>
    <w:p>
      <w:pPr>
        <w:spacing w:line="360" w:lineRule="auto"/>
        <w:ind w:firstLine="560" w:firstLineChars="200"/>
        <w:rPr>
          <w:rFonts w:hint="eastAsia" w:ascii="Times New Roman" w:hAnsi="Times New Roman" w:eastAsia="宋体" w:cs="Times New Roman"/>
          <w:color w:val="000000"/>
          <w:sz w:val="28"/>
          <w:lang w:val="en-US" w:eastAsia="zh-CN"/>
        </w:rPr>
      </w:pPr>
      <w:r>
        <w:rPr>
          <w:rFonts w:hint="eastAsia" w:ascii="Times New Roman" w:hAnsi="Times New Roman" w:eastAsia="宋体" w:cs="Times New Roman"/>
          <w:color w:val="000000"/>
          <w:sz w:val="28"/>
          <w:lang w:val="en-US" w:eastAsia="zh-CN"/>
        </w:rPr>
        <w:t>该企业生产车间内设置强制通风和事故通风，精制车间内可燃气体报警仪与事故风机连锁。</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供热</w:t>
      </w:r>
    </w:p>
    <w:p>
      <w:pPr>
        <w:keepNext w:val="0"/>
        <w:keepLines w:val="0"/>
        <w:widowControl/>
        <w:suppressLineNumbers w:val="0"/>
        <w:ind w:firstLine="560" w:firstLineChars="200"/>
        <w:jc w:val="left"/>
        <w:rPr>
          <w:rFonts w:hint="eastAsia" w:cs="Times New Roman"/>
          <w:color w:val="FF0000"/>
          <w:kern w:val="0"/>
          <w:sz w:val="28"/>
          <w:szCs w:val="28"/>
          <w:lang w:val="en-US" w:eastAsia="zh-CN" w:bidi="ar"/>
        </w:rPr>
      </w:pPr>
      <w:r>
        <w:rPr>
          <w:rFonts w:hint="eastAsia" w:ascii="Times New Roman" w:hAnsi="Times New Roman" w:cs="Times New Roman"/>
          <w:color w:val="FF0000"/>
          <w:kern w:val="0"/>
          <w:sz w:val="28"/>
          <w:szCs w:val="28"/>
          <w:lang w:val="en-US" w:eastAsia="zh-CN" w:bidi="ar"/>
        </w:rPr>
        <w:t>生产使用的蒸汽由锅炉房内的蒸汽锅炉提供，锅炉房内设有4台K6蒸汽锅炉，</w:t>
      </w:r>
      <w:r>
        <w:rPr>
          <w:rFonts w:hint="eastAsia" w:cs="Times New Roman"/>
          <w:color w:val="FF0000"/>
          <w:kern w:val="0"/>
          <w:sz w:val="28"/>
          <w:szCs w:val="28"/>
          <w:lang w:val="en-US" w:eastAsia="zh-CN" w:bidi="ar"/>
        </w:rPr>
        <w:t>燃料采用</w:t>
      </w:r>
      <w:r>
        <w:rPr>
          <w:rFonts w:hint="eastAsia" w:ascii="Times New Roman" w:hAnsi="Times New Roman" w:eastAsia="宋体" w:cs="Times New Roman"/>
          <w:color w:val="FF0000"/>
          <w:sz w:val="28"/>
          <w:lang w:val="en-US" w:eastAsia="zh-CN"/>
        </w:rPr>
        <w:t>糠醛废渣</w:t>
      </w:r>
      <w:r>
        <w:rPr>
          <w:rFonts w:hint="eastAsia" w:cs="Times New Roman"/>
          <w:color w:val="FF0000"/>
          <w:sz w:val="28"/>
          <w:lang w:val="en-US" w:eastAsia="zh-CN"/>
        </w:rPr>
        <w:t>，锅炉房设有</w:t>
      </w:r>
      <w:r>
        <w:rPr>
          <w:rFonts w:hint="eastAsia" w:ascii="Times New Roman" w:hAnsi="Times New Roman" w:cs="Times New Roman"/>
          <w:color w:val="FF0000"/>
          <w:kern w:val="0"/>
          <w:sz w:val="28"/>
          <w:szCs w:val="28"/>
          <w:lang w:val="en-US" w:eastAsia="zh-CN" w:bidi="ar"/>
        </w:rPr>
        <w:t>2台给水泵，</w:t>
      </w:r>
      <w:r>
        <w:rPr>
          <w:rFonts w:hint="eastAsia" w:cs="Times New Roman"/>
          <w:color w:val="FF0000"/>
          <w:kern w:val="0"/>
          <w:sz w:val="28"/>
          <w:szCs w:val="28"/>
          <w:lang w:val="en-US" w:eastAsia="zh-CN" w:bidi="ar"/>
        </w:rPr>
        <w:t>1套加药设施，1</w:t>
      </w:r>
      <w:r>
        <w:rPr>
          <w:rFonts w:hint="eastAsia" w:ascii="Times New Roman" w:hAnsi="Times New Roman" w:cs="Times New Roman"/>
          <w:color w:val="FF0000"/>
          <w:kern w:val="0"/>
          <w:sz w:val="28"/>
          <w:szCs w:val="28"/>
          <w:lang w:val="en-US" w:eastAsia="zh-CN" w:bidi="ar"/>
        </w:rPr>
        <w:t>个分汽包，每台锅炉均设有</w:t>
      </w:r>
      <w:r>
        <w:rPr>
          <w:rFonts w:hint="eastAsia" w:cs="Times New Roman"/>
          <w:color w:val="FF0000"/>
          <w:kern w:val="0"/>
          <w:sz w:val="28"/>
          <w:szCs w:val="28"/>
          <w:lang w:val="en-US" w:eastAsia="zh-CN" w:bidi="ar"/>
        </w:rPr>
        <w:t>2</w:t>
      </w:r>
      <w:r>
        <w:rPr>
          <w:rFonts w:hint="eastAsia" w:ascii="Times New Roman" w:hAnsi="Times New Roman" w:cs="Times New Roman"/>
          <w:color w:val="FF0000"/>
          <w:kern w:val="0"/>
          <w:sz w:val="28"/>
          <w:szCs w:val="28"/>
          <w:lang w:val="en-US" w:eastAsia="zh-CN" w:bidi="ar"/>
        </w:rPr>
        <w:t>个安全阀</w:t>
      </w:r>
      <w:r>
        <w:rPr>
          <w:rFonts w:hint="eastAsia" w:cs="Times New Roman"/>
          <w:color w:val="FF0000"/>
          <w:kern w:val="0"/>
          <w:sz w:val="28"/>
          <w:szCs w:val="28"/>
          <w:lang w:val="en-US" w:eastAsia="zh-CN" w:bidi="ar"/>
        </w:rPr>
        <w:t>。</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可燃气体检测及报警系统</w:t>
      </w:r>
    </w:p>
    <w:p>
      <w:pPr>
        <w:keepNext w:val="0"/>
        <w:keepLines w:val="0"/>
        <w:widowControl/>
        <w:suppressLineNumbers w:val="0"/>
        <w:ind w:firstLine="560" w:firstLineChars="200"/>
        <w:jc w:val="left"/>
        <w:rPr>
          <w:rFonts w:hint="default"/>
          <w:lang w:val="en-US" w:eastAsia="zh-CN"/>
        </w:rPr>
      </w:pPr>
      <w:r>
        <w:rPr>
          <w:rFonts w:hint="default" w:ascii="Times New Roman" w:hAnsi="Times New Roman" w:eastAsia="宋体" w:cs="Times New Roman"/>
          <w:color w:val="FF0000"/>
          <w:kern w:val="0"/>
          <w:sz w:val="28"/>
          <w:szCs w:val="28"/>
          <w:lang w:val="en-US" w:eastAsia="zh-CN" w:bidi="ar"/>
        </w:rPr>
        <w:t>为确保生产装置的安全和人身安全，在易发生可燃气体泄漏或聚积的场所，根据工艺或安全等主体专业提供的泄漏点分布设置可燃气体检测器，信号送至检测控制盘</w:t>
      </w:r>
      <w:r>
        <w:rPr>
          <w:rFonts w:hint="eastAsia" w:ascii="Times New Roman" w:hAnsi="Times New Roman" w:eastAsia="宋体" w:cs="Times New Roman"/>
          <w:color w:val="FF0000"/>
          <w:kern w:val="0"/>
          <w:sz w:val="28"/>
          <w:szCs w:val="28"/>
          <w:lang w:val="en-US" w:eastAsia="zh-CN" w:bidi="ar"/>
        </w:rPr>
        <w:t>，报警控制盘采用UPS作为备用电源。</w:t>
      </w:r>
    </w:p>
    <w:p>
      <w:pPr>
        <w:keepNext w:val="0"/>
        <w:keepLines w:val="0"/>
        <w:widowControl/>
        <w:suppressLineNumbers w:val="0"/>
        <w:ind w:firstLine="560" w:firstLineChars="200"/>
        <w:jc w:val="left"/>
        <w:rPr>
          <w:rFonts w:hint="default" w:ascii="Times New Roman" w:hAnsi="Times New Roman" w:eastAsia="宋体" w:cs="Times New Roman"/>
          <w:color w:val="FF0000"/>
          <w:kern w:val="0"/>
          <w:sz w:val="28"/>
          <w:szCs w:val="28"/>
          <w:lang w:val="en-US" w:eastAsia="zh-CN" w:bidi="ar"/>
        </w:rPr>
      </w:pPr>
      <w:r>
        <w:rPr>
          <w:rFonts w:hint="default" w:ascii="Times New Roman" w:hAnsi="Times New Roman" w:eastAsia="宋体" w:cs="Times New Roman"/>
          <w:color w:val="FF0000"/>
          <w:kern w:val="0"/>
          <w:sz w:val="28"/>
          <w:szCs w:val="28"/>
          <w:lang w:val="en-US" w:eastAsia="zh-CN" w:bidi="ar"/>
        </w:rPr>
        <w:t>在生产车间（精制部分）设置</w:t>
      </w:r>
      <w:r>
        <w:rPr>
          <w:rFonts w:hint="eastAsia" w:ascii="Times New Roman" w:hAnsi="Times New Roman" w:eastAsia="宋体" w:cs="Times New Roman"/>
          <w:color w:val="FF0000"/>
          <w:kern w:val="0"/>
          <w:sz w:val="28"/>
          <w:szCs w:val="28"/>
          <w:lang w:val="en-US" w:eastAsia="zh-CN" w:bidi="ar"/>
        </w:rPr>
        <w:t>3</w:t>
      </w:r>
      <w:r>
        <w:rPr>
          <w:rFonts w:hint="default" w:ascii="Times New Roman" w:hAnsi="Times New Roman" w:eastAsia="宋体" w:cs="Times New Roman"/>
          <w:color w:val="FF0000"/>
          <w:kern w:val="0"/>
          <w:sz w:val="28"/>
          <w:szCs w:val="28"/>
          <w:lang w:val="en-US" w:eastAsia="zh-CN" w:bidi="ar"/>
        </w:rPr>
        <w:t>台可燃气体检测器，并与生产车间（精制部分）防爆轴流风机联锁。</w:t>
      </w:r>
      <w:r>
        <w:rPr>
          <w:rFonts w:hint="eastAsia" w:ascii="Times New Roman" w:hAnsi="Times New Roman" w:eastAsia="宋体" w:cs="Times New Roman"/>
          <w:color w:val="FF0000"/>
          <w:kern w:val="0"/>
          <w:sz w:val="28"/>
          <w:szCs w:val="28"/>
          <w:lang w:val="en-US" w:eastAsia="zh-CN" w:bidi="ar"/>
        </w:rPr>
        <w:t>成品储罐区设置1</w:t>
      </w:r>
      <w:r>
        <w:rPr>
          <w:rFonts w:hint="default" w:ascii="Times New Roman" w:hAnsi="Times New Roman" w:eastAsia="宋体" w:cs="Times New Roman"/>
          <w:color w:val="FF0000"/>
          <w:kern w:val="0"/>
          <w:sz w:val="28"/>
          <w:szCs w:val="28"/>
          <w:lang w:val="en-US" w:eastAsia="zh-CN" w:bidi="ar"/>
        </w:rPr>
        <w:t>台可燃气体检测器</w:t>
      </w:r>
      <w:r>
        <w:rPr>
          <w:rFonts w:hint="eastAsia" w:ascii="Times New Roman" w:hAnsi="Times New Roman" w:eastAsia="宋体" w:cs="Times New Roman"/>
          <w:color w:val="FF0000"/>
          <w:kern w:val="0"/>
          <w:sz w:val="28"/>
          <w:szCs w:val="28"/>
          <w:lang w:val="en-US" w:eastAsia="zh-CN" w:bidi="ar"/>
        </w:rPr>
        <w:t>。</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运输</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生产所需原辅料和生产产品由厂外车辆运输，委托具有相关资质的单位运输。</w:t>
      </w:r>
      <w:r>
        <w:rPr>
          <w:rFonts w:hint="eastAsia" w:ascii="宋体" w:hAnsi="宋体"/>
          <w:sz w:val="28"/>
          <w:szCs w:val="28"/>
          <w:lang w:eastAsia="zh-CN"/>
        </w:rPr>
        <w:t>厂内</w:t>
      </w:r>
      <w:r>
        <w:rPr>
          <w:rFonts w:hint="eastAsia" w:ascii="宋体" w:hAnsi="宋体"/>
          <w:sz w:val="28"/>
          <w:szCs w:val="28"/>
        </w:rPr>
        <w:t>运输使用铲车</w:t>
      </w:r>
      <w:r>
        <w:rPr>
          <w:rFonts w:hint="eastAsia" w:ascii="宋体" w:hAnsi="宋体"/>
          <w:sz w:val="28"/>
          <w:szCs w:val="28"/>
          <w:lang w:eastAsia="zh-CN"/>
        </w:rPr>
        <w:t>。</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default"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爆炸危险区域划分</w:t>
      </w:r>
    </w:p>
    <w:p>
      <w:pPr>
        <w:spacing w:line="360" w:lineRule="auto"/>
        <w:ind w:firstLine="560" w:firstLineChars="200"/>
        <w:jc w:val="left"/>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根据《爆炸危险环境电力装置设计规范》（GB50058-2014）第3.2.1条的规定，爆炸性气体环境应根据爆炸性气体混合物出现的频繁程度和持续时间，按下列规定进行分区：</w:t>
      </w:r>
    </w:p>
    <w:p>
      <w:pPr>
        <w:spacing w:line="360" w:lineRule="auto"/>
        <w:ind w:firstLine="560" w:firstLineChars="200"/>
        <w:jc w:val="left"/>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0区：连续出现或长期出现爆炸性气体混合物的环境；</w:t>
      </w:r>
    </w:p>
    <w:p>
      <w:pPr>
        <w:spacing w:line="360" w:lineRule="auto"/>
        <w:ind w:firstLine="560" w:firstLineChars="200"/>
        <w:jc w:val="left"/>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1区：在正常运行时可能出现爆炸性气体混合物的环境；</w:t>
      </w:r>
    </w:p>
    <w:p>
      <w:pPr>
        <w:spacing w:line="360" w:lineRule="auto"/>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2区：在正常运行时不可能出现爆炸性气体混合物的环境，或即使出现也仅是短时存在的爆炸性气体混合物的环境。</w:t>
      </w:r>
    </w:p>
    <w:p>
      <w:pPr>
        <w:spacing w:line="360" w:lineRule="auto"/>
        <w:ind w:firstLine="560" w:firstLineChars="200"/>
        <w:rPr>
          <w:rFonts w:hint="default"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爆炸危险区域划分：</w:t>
      </w:r>
      <w:r>
        <w:rPr>
          <w:rFonts w:hint="eastAsia" w:cs="Times New Roman"/>
          <w:color w:val="auto"/>
          <w:sz w:val="28"/>
          <w:szCs w:val="28"/>
          <w:lang w:val="en-US" w:eastAsia="zh-CN"/>
        </w:rPr>
        <w:t>根据安全设计诊断单位出具的爆炸危险区域划分图，</w:t>
      </w:r>
      <w:r>
        <w:rPr>
          <w:rFonts w:hint="eastAsia" w:ascii="Times New Roman" w:hAnsi="Times New Roman" w:eastAsia="宋体" w:cs="Times New Roman"/>
          <w:color w:val="auto"/>
          <w:sz w:val="28"/>
          <w:szCs w:val="28"/>
          <w:lang w:eastAsia="zh-CN"/>
        </w:rPr>
        <w:t>该企业糠醛精制车间以精制塔法兰、阀门为释放源中心，半径15m范围划为2区，</w:t>
      </w:r>
      <w:r>
        <w:rPr>
          <w:rFonts w:hint="eastAsia" w:cs="Times New Roman"/>
          <w:color w:val="auto"/>
          <w:sz w:val="28"/>
          <w:szCs w:val="28"/>
          <w:lang w:eastAsia="zh-CN"/>
        </w:rPr>
        <w:t>当可燃液体闪点高于或等于</w:t>
      </w:r>
      <w:r>
        <w:rPr>
          <w:rFonts w:hint="eastAsia" w:cs="Times New Roman"/>
          <w:color w:val="auto"/>
          <w:sz w:val="28"/>
          <w:szCs w:val="28"/>
          <w:lang w:val="en-US" w:eastAsia="zh-CN"/>
        </w:rPr>
        <w:t>60℃时，在物料操作温度高于可燃液体闪点的情况下，可燃液体可能泄漏时，其爆炸危险区域的范围宜适当减小，但不宜小于4.5m。</w:t>
      </w:r>
    </w:p>
    <w:p>
      <w:pPr>
        <w:spacing w:line="360" w:lineRule="auto"/>
        <w:ind w:firstLine="560" w:firstLineChars="200"/>
        <w:rPr>
          <w:rFonts w:hint="eastAsia"/>
          <w:lang w:val="en-US" w:eastAsia="zh-CN"/>
        </w:rPr>
      </w:pPr>
      <w:r>
        <w:rPr>
          <w:rFonts w:hint="eastAsia" w:ascii="Times New Roman" w:hAnsi="Times New Roman" w:eastAsia="宋体" w:cs="Times New Roman"/>
          <w:color w:val="auto"/>
          <w:sz w:val="28"/>
          <w:szCs w:val="28"/>
          <w:lang w:eastAsia="zh-CN"/>
        </w:rPr>
        <w:t>爆炸危险区域范围内的电气设备防爆</w:t>
      </w:r>
      <w:r>
        <w:rPr>
          <w:rFonts w:hint="eastAsia" w:cs="Times New Roman"/>
          <w:color w:val="auto"/>
          <w:sz w:val="28"/>
          <w:szCs w:val="28"/>
          <w:lang w:eastAsia="zh-CN"/>
        </w:rPr>
        <w:t>级别</w:t>
      </w:r>
      <w:r>
        <w:rPr>
          <w:rFonts w:hint="eastAsia" w:ascii="Times New Roman" w:hAnsi="Times New Roman" w:eastAsia="宋体" w:cs="Times New Roman"/>
          <w:color w:val="auto"/>
          <w:sz w:val="28"/>
          <w:szCs w:val="28"/>
          <w:lang w:eastAsia="zh-CN"/>
        </w:rPr>
        <w:t>不低于IIB</w:t>
      </w:r>
      <w:r>
        <w:rPr>
          <w:rFonts w:hint="eastAsia" w:cs="Times New Roman"/>
          <w:color w:val="auto"/>
          <w:sz w:val="28"/>
          <w:szCs w:val="28"/>
          <w:lang w:eastAsia="zh-CN"/>
        </w:rPr>
        <w:t>，组别</w:t>
      </w:r>
      <w:r>
        <w:rPr>
          <w:rFonts w:hint="eastAsia" w:ascii="Times New Roman" w:hAnsi="Times New Roman" w:eastAsia="宋体" w:cs="Times New Roman"/>
          <w:color w:val="auto"/>
          <w:sz w:val="28"/>
          <w:szCs w:val="28"/>
          <w:lang w:eastAsia="zh-CN"/>
        </w:rPr>
        <w:t>不低于T4。</w:t>
      </w:r>
    </w:p>
    <w:p>
      <w:pPr>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outlineLvl w:val="1"/>
        <w:rPr>
          <w:rFonts w:hint="eastAsia" w:ascii="楷体" w:hAnsi="楷体" w:eastAsia="楷体" w:cs="楷体"/>
          <w:b w:val="0"/>
          <w:bCs/>
          <w:kern w:val="2"/>
          <w:sz w:val="32"/>
          <w:szCs w:val="32"/>
          <w:lang w:val="en-US" w:eastAsia="zh-CN" w:bidi="ar-SA"/>
        </w:rPr>
      </w:pPr>
      <w:bookmarkStart w:id="37" w:name="_Toc18666"/>
      <w:r>
        <w:rPr>
          <w:rFonts w:hint="eastAsia" w:ascii="楷体" w:hAnsi="楷体" w:eastAsia="楷体" w:cs="楷体"/>
          <w:b w:val="0"/>
          <w:bCs/>
          <w:kern w:val="2"/>
          <w:sz w:val="32"/>
          <w:szCs w:val="32"/>
          <w:lang w:val="en-US" w:eastAsia="zh-CN" w:bidi="ar-SA"/>
        </w:rPr>
        <w:t>劳动定员情况</w:t>
      </w:r>
      <w:bookmarkEnd w:id="37"/>
    </w:p>
    <w:p>
      <w:pPr>
        <w:spacing w:line="360" w:lineRule="auto"/>
        <w:ind w:firstLine="560" w:firstLineChars="200"/>
        <w:rPr>
          <w:rFonts w:hint="default" w:ascii="Times New Roman" w:hAnsi="Times New Roman" w:eastAsia="宋体" w:cs="Times New Roman"/>
          <w:color w:val="auto"/>
          <w:sz w:val="28"/>
          <w:szCs w:val="28"/>
          <w:lang w:eastAsia="zh-CN"/>
        </w:rPr>
      </w:pP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rPr>
        <w:t>现有员</w:t>
      </w:r>
      <w:r>
        <w:rPr>
          <w:rFonts w:hint="default" w:ascii="Times New Roman" w:hAnsi="Times New Roman" w:eastAsia="宋体" w:cs="Times New Roman"/>
          <w:color w:val="auto"/>
          <w:sz w:val="28"/>
          <w:szCs w:val="28"/>
          <w:highlight w:val="none"/>
        </w:rPr>
        <w:t>工</w:t>
      </w:r>
      <w:r>
        <w:rPr>
          <w:rFonts w:hint="default" w:ascii="Times New Roman" w:hAnsi="Times New Roman" w:eastAsia="宋体" w:cs="Times New Roman"/>
          <w:color w:val="auto"/>
          <w:sz w:val="28"/>
          <w:szCs w:val="28"/>
          <w:highlight w:val="none"/>
          <w:lang w:val="en-US" w:eastAsia="zh-CN"/>
        </w:rPr>
        <w:t>4</w:t>
      </w:r>
      <w:r>
        <w:rPr>
          <w:rFonts w:hint="eastAsia" w:cs="Times New Roman"/>
          <w:color w:val="auto"/>
          <w:sz w:val="28"/>
          <w:szCs w:val="28"/>
          <w:highlight w:val="none"/>
          <w:lang w:val="en-US" w:eastAsia="zh-CN"/>
        </w:rPr>
        <w:t>5</w:t>
      </w:r>
      <w:r>
        <w:rPr>
          <w:rFonts w:hint="default" w:ascii="Times New Roman" w:hAnsi="Times New Roman" w:eastAsia="宋体" w:cs="Times New Roman"/>
          <w:color w:val="auto"/>
          <w:sz w:val="28"/>
          <w:szCs w:val="28"/>
          <w:highlight w:val="none"/>
        </w:rPr>
        <w:t>人</w:t>
      </w:r>
      <w:r>
        <w:rPr>
          <w:rFonts w:hint="default" w:ascii="Times New Roman" w:hAnsi="Times New Roman" w:eastAsia="宋体" w:cs="Times New Roman"/>
          <w:color w:val="auto"/>
          <w:sz w:val="28"/>
          <w:szCs w:val="28"/>
        </w:rPr>
        <w:t>，设有安全管理组织机构</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配备专职安全生产管理人员</w:t>
      </w:r>
      <w:r>
        <w:rPr>
          <w:rFonts w:hint="default" w:ascii="Times New Roman" w:hAnsi="Times New Roman" w:eastAsia="宋体" w:cs="Times New Roman"/>
          <w:color w:val="auto"/>
          <w:sz w:val="28"/>
          <w:szCs w:val="28"/>
          <w:lang w:val="en-US" w:eastAsia="zh-CN"/>
        </w:rPr>
        <w:t>1</w:t>
      </w:r>
      <w:r>
        <w:rPr>
          <w:rFonts w:hint="default" w:ascii="Times New Roman" w:hAnsi="Times New Roman" w:eastAsia="宋体" w:cs="Times New Roman"/>
          <w:color w:val="auto"/>
          <w:sz w:val="28"/>
          <w:szCs w:val="28"/>
        </w:rPr>
        <w:t>名。</w:t>
      </w:r>
    </w:p>
    <w:p>
      <w:pPr>
        <w:rPr>
          <w:rFonts w:hint="eastAsia" w:ascii="Times New Roman" w:hAnsi="Times New Roman" w:eastAsia="宋体" w:cs="Times New Roman"/>
          <w:color w:val="000000"/>
          <w:kern w:val="2"/>
          <w:sz w:val="28"/>
          <w:szCs w:val="28"/>
          <w:lang w:val="en-US" w:eastAsia="zh-CN" w:bidi="ar-SA"/>
        </w:rPr>
      </w:pPr>
    </w:p>
    <w:p>
      <w:pPr>
        <w:pStyle w:val="2"/>
        <w:rPr>
          <w:rFonts w:hint="eastAsia"/>
          <w:lang w:val="en-US" w:eastAsia="zh-CN"/>
        </w:rPr>
      </w:pPr>
    </w:p>
    <w:p>
      <w:pPr>
        <w:pStyle w:val="45"/>
        <w:rPr>
          <w:rFonts w:hint="eastAsia" w:ascii="Times New Roman" w:hAnsi="Times New Roman" w:eastAsia="宋体" w:cs="Times New Roman"/>
          <w:color w:val="000000"/>
          <w:kern w:val="2"/>
          <w:sz w:val="28"/>
          <w:szCs w:val="28"/>
          <w:lang w:val="en-US" w:eastAsia="zh-CN" w:bidi="ar-SA"/>
        </w:rPr>
      </w:pPr>
    </w:p>
    <w:p>
      <w:pPr>
        <w:rPr>
          <w:rFonts w:hint="eastAsia" w:ascii="Times New Roman" w:hAnsi="Times New Roman" w:eastAsia="宋体" w:cs="Times New Roman"/>
          <w:color w:val="000000"/>
          <w:kern w:val="2"/>
          <w:sz w:val="28"/>
          <w:szCs w:val="28"/>
          <w:lang w:val="en-US" w:eastAsia="zh-CN" w:bidi="ar-SA"/>
        </w:rPr>
      </w:pPr>
    </w:p>
    <w:p>
      <w:pPr>
        <w:pStyle w:val="24"/>
        <w:rPr>
          <w:rFonts w:hint="eastAsia" w:ascii="Times New Roman" w:hAnsi="Times New Roman" w:eastAsia="宋体" w:cs="Times New Roman"/>
          <w:color w:val="000000"/>
          <w:kern w:val="2"/>
          <w:sz w:val="28"/>
          <w:szCs w:val="28"/>
          <w:lang w:val="en-US" w:eastAsia="zh-CN" w:bidi="ar-SA"/>
        </w:rPr>
      </w:pP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38" w:name="_Toc14928_WPSOffice_Level1"/>
      <w:bookmarkStart w:id="39" w:name="_Toc17739"/>
      <w:bookmarkStart w:id="40" w:name="_Toc6430_WPSOffice_Level1"/>
      <w:bookmarkStart w:id="41" w:name="_Toc18345_WPSOffice_Level1"/>
      <w:bookmarkStart w:id="42" w:name="_Toc532976987"/>
      <w:r>
        <w:rPr>
          <w:rFonts w:hint="eastAsia" w:ascii="Times New Roman" w:hAnsi="Times New Roman" w:eastAsia="黑体" w:cs="Times New Roman"/>
          <w:b w:val="0"/>
          <w:bCs/>
          <w:sz w:val="32"/>
          <w:szCs w:val="32"/>
        </w:rPr>
        <w:t>安全评价目的、范围</w:t>
      </w:r>
      <w:r>
        <w:rPr>
          <w:rFonts w:hint="eastAsia" w:ascii="Times New Roman" w:hAnsi="Times New Roman" w:cs="Times New Roman"/>
          <w:b w:val="0"/>
          <w:bCs/>
          <w:sz w:val="32"/>
          <w:szCs w:val="32"/>
          <w:lang w:eastAsia="zh-CN"/>
        </w:rPr>
        <w:t>及</w:t>
      </w:r>
      <w:r>
        <w:rPr>
          <w:rFonts w:hint="eastAsia" w:ascii="Times New Roman" w:hAnsi="Times New Roman" w:eastAsia="黑体" w:cs="Times New Roman"/>
          <w:b w:val="0"/>
          <w:bCs/>
          <w:sz w:val="32"/>
          <w:szCs w:val="32"/>
        </w:rPr>
        <w:t>程序</w:t>
      </w:r>
      <w:bookmarkEnd w:id="38"/>
      <w:bookmarkEnd w:id="39"/>
      <w:bookmarkEnd w:id="40"/>
      <w:bookmarkEnd w:id="41"/>
      <w:bookmarkEnd w:id="42"/>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43" w:name="_Toc203210242"/>
      <w:bookmarkStart w:id="44" w:name="_Toc30493_WPSOffice_Level2"/>
      <w:bookmarkStart w:id="45" w:name="_Toc12580_WPSOffice_Level2"/>
      <w:bookmarkStart w:id="46" w:name="_Toc532976988"/>
      <w:bookmarkStart w:id="47" w:name="_Toc3772"/>
      <w:r>
        <w:rPr>
          <w:rFonts w:hint="eastAsia" w:ascii="楷体" w:hAnsi="楷体" w:eastAsia="楷体" w:cs="楷体"/>
          <w:b w:val="0"/>
          <w:bCs/>
          <w:kern w:val="2"/>
          <w:sz w:val="32"/>
          <w:szCs w:val="32"/>
          <w:lang w:val="en-US" w:eastAsia="zh-CN"/>
        </w:rPr>
        <w:t>安全评价</w:t>
      </w:r>
      <w:bookmarkEnd w:id="43"/>
      <w:r>
        <w:rPr>
          <w:rFonts w:hint="eastAsia" w:ascii="楷体" w:hAnsi="楷体" w:eastAsia="楷体" w:cs="楷体"/>
          <w:b w:val="0"/>
          <w:bCs/>
          <w:kern w:val="2"/>
          <w:sz w:val="32"/>
          <w:szCs w:val="32"/>
          <w:lang w:val="en-US" w:eastAsia="zh-CN"/>
        </w:rPr>
        <w:t>目的</w:t>
      </w:r>
      <w:bookmarkEnd w:id="44"/>
      <w:bookmarkEnd w:id="45"/>
      <w:bookmarkEnd w:id="46"/>
      <w:bookmarkEnd w:id="47"/>
    </w:p>
    <w:p>
      <w:pPr>
        <w:adjustRightInd w:val="0"/>
        <w:spacing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本评价是依据《中华人民共和国安全生产法》（中华人民共和国主席令[2002]第</w:t>
      </w:r>
      <w:r>
        <w:rPr>
          <w:rFonts w:hint="default" w:ascii="Times New Roman" w:hAnsi="Times New Roman" w:eastAsia="宋体" w:cs="Times New Roman"/>
          <w:color w:val="auto"/>
          <w:sz w:val="28"/>
          <w:szCs w:val="28"/>
          <w:lang w:val="en-US" w:eastAsia="zh-CN"/>
        </w:rPr>
        <w:t>70</w:t>
      </w:r>
      <w:r>
        <w:rPr>
          <w:rFonts w:hint="default" w:ascii="Times New Roman" w:hAnsi="Times New Roman" w:eastAsia="宋体" w:cs="Times New Roman"/>
          <w:color w:val="auto"/>
          <w:sz w:val="28"/>
          <w:szCs w:val="28"/>
        </w:rPr>
        <w:t>号，根据中华人民共和国主席令[2009]第18号、[2014]第</w:t>
      </w:r>
      <w:r>
        <w:rPr>
          <w:rFonts w:hint="default" w:ascii="Times New Roman" w:hAnsi="Times New Roman" w:eastAsia="宋体" w:cs="Times New Roman"/>
          <w:color w:val="auto"/>
          <w:sz w:val="28"/>
          <w:szCs w:val="28"/>
          <w:lang w:val="en-US" w:eastAsia="zh-CN"/>
        </w:rPr>
        <w:t>13</w:t>
      </w:r>
      <w:r>
        <w:rPr>
          <w:rFonts w:hint="default" w:ascii="Times New Roman" w:hAnsi="Times New Roman" w:eastAsia="宋体" w:cs="Times New Roman"/>
          <w:color w:val="auto"/>
          <w:sz w:val="28"/>
          <w:szCs w:val="28"/>
        </w:rPr>
        <w:t>号、[2021]第</w:t>
      </w:r>
      <w:r>
        <w:rPr>
          <w:rFonts w:hint="default" w:ascii="Times New Roman" w:hAnsi="Times New Roman" w:eastAsia="宋体" w:cs="Times New Roman"/>
          <w:color w:val="auto"/>
          <w:sz w:val="28"/>
          <w:szCs w:val="28"/>
          <w:lang w:val="en-US" w:eastAsia="zh-CN"/>
        </w:rPr>
        <w:t>88</w:t>
      </w:r>
      <w:r>
        <w:rPr>
          <w:rFonts w:hint="default" w:ascii="Times New Roman" w:hAnsi="Times New Roman" w:eastAsia="宋体" w:cs="Times New Roman"/>
          <w:color w:val="auto"/>
          <w:sz w:val="28"/>
          <w:szCs w:val="28"/>
        </w:rPr>
        <w:t>号修正）、《危险化学品安全管理条例》（国务院令[2011]第591号，根据国务院令[2013]第645号修订）、</w:t>
      </w:r>
      <w:r>
        <w:rPr>
          <w:rFonts w:hint="eastAsia" w:ascii="Times New Roman" w:hAnsi="Times New Roman" w:eastAsia="宋体" w:cs="Times New Roman"/>
          <w:snapToGrid/>
          <w:spacing w:val="0"/>
          <w:w w:val="100"/>
          <w:kern w:val="2"/>
          <w:sz w:val="28"/>
          <w:szCs w:val="28"/>
          <w:lang w:val="en-US" w:eastAsia="zh-CN"/>
        </w:rPr>
        <w:t>《危险化学品生产企业安全生产许可证实施办法》（国家安全生产监督管理总局令[2011]第41号公布，根据国家安全生产监督管理总局令[2015]第79号第一次修正，国家安全生产监督管理总局令[2017]第89号令第二次修正）</w:t>
      </w:r>
      <w:r>
        <w:rPr>
          <w:rFonts w:hint="default" w:ascii="Times New Roman" w:hAnsi="Times New Roman" w:eastAsia="宋体" w:cs="Times New Roman"/>
          <w:color w:val="auto"/>
          <w:sz w:val="28"/>
          <w:szCs w:val="28"/>
        </w:rPr>
        <w:t>及《危险化学品生产企业安全评价导则（试行）》（安监管危化字[2004]127号）等法律、法规要求，对</w:t>
      </w: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rPr>
        <w:t>进行安全现状评价，目的如下：</w:t>
      </w:r>
    </w:p>
    <w:p>
      <w:pPr>
        <w:adjustRightInd w:val="0"/>
        <w:spacing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（1）判断危险化学品生产企业的现有生产条件是否符合国家及地方有关法律法规、规章、文件及标准规范的要求。</w:t>
      </w:r>
    </w:p>
    <w:p>
      <w:pPr>
        <w:adjustRightInd w:val="0"/>
        <w:spacing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（2）通过对</w:t>
      </w: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rPr>
        <w:t>各生产装置的安全评价，查清企业及其生产装置在安全管理、体系建设、总体规划、装置总平面布置以及工艺、设备、电气、消防等方面的安全现状，分析各危险化学品生产装置日常生产过程中存在和潜在的危险因素，找出各生产装置在生产运行中存在的隐患。</w:t>
      </w:r>
    </w:p>
    <w:p>
      <w:pPr>
        <w:adjustRightInd w:val="0"/>
        <w:spacing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（3）核查企业自上次取得安全生产许可证至今，装置、工艺、设备、主要安全生产责任人等是否发生变更的情况。</w:t>
      </w:r>
    </w:p>
    <w:p>
      <w:pPr>
        <w:adjustRightInd w:val="0"/>
        <w:spacing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（4）为企业安全管理和安全监督提供依据；为企业的安全投入与资金使用提供参考；也为企业的日常安全管理。</w:t>
      </w:r>
    </w:p>
    <w:p>
      <w:pPr>
        <w:adjustRightInd w:val="0"/>
        <w:spacing w:line="360" w:lineRule="auto"/>
        <w:ind w:firstLine="560" w:firstLineChars="200"/>
        <w:jc w:val="left"/>
        <w:rPr>
          <w:rFonts w:hint="eastAsia" w:ascii="宋体" w:hAnsi="宋体" w:eastAsia="宋体" w:cs="宋体"/>
          <w:color w:val="auto"/>
          <w:sz w:val="28"/>
          <w:szCs w:val="28"/>
        </w:rPr>
      </w:pPr>
      <w:r>
        <w:rPr>
          <w:rFonts w:hint="default" w:ascii="Times New Roman" w:hAnsi="Times New Roman" w:eastAsia="宋体" w:cs="Times New Roman"/>
          <w:color w:val="auto"/>
          <w:sz w:val="28"/>
          <w:szCs w:val="28"/>
        </w:rPr>
        <w:t>（5）为应急管理部门的安全监管、审批提供依据。</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48" w:name="_Toc10368_WPSOffice_Level2"/>
      <w:bookmarkStart w:id="49" w:name="_Toc532976989"/>
      <w:bookmarkStart w:id="50" w:name="_Toc2377_WPSOffice_Level2"/>
      <w:bookmarkStart w:id="51" w:name="_Toc8732"/>
      <w:r>
        <w:rPr>
          <w:rFonts w:hint="eastAsia" w:ascii="楷体" w:hAnsi="楷体" w:eastAsia="楷体" w:cs="楷体"/>
          <w:b w:val="0"/>
          <w:bCs/>
          <w:kern w:val="2"/>
          <w:sz w:val="32"/>
          <w:szCs w:val="32"/>
          <w:lang w:val="en-US" w:eastAsia="zh-CN"/>
        </w:rPr>
        <w:t>安全评价范围</w:t>
      </w:r>
      <w:bookmarkEnd w:id="48"/>
      <w:bookmarkEnd w:id="49"/>
      <w:bookmarkEnd w:id="50"/>
      <w:bookmarkEnd w:id="51"/>
    </w:p>
    <w:p>
      <w:pPr>
        <w:adjustRightInd w:val="0"/>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本次安全评价范围包括：厂区</w:t>
      </w:r>
      <w:r>
        <w:rPr>
          <w:rFonts w:hint="eastAsia" w:ascii="宋体" w:hAnsi="宋体" w:eastAsia="宋体" w:cs="宋体"/>
          <w:color w:val="auto"/>
          <w:sz w:val="28"/>
          <w:szCs w:val="28"/>
          <w:lang w:eastAsia="zh-CN"/>
        </w:rPr>
        <w:t>周边环境及</w:t>
      </w:r>
      <w:r>
        <w:rPr>
          <w:rFonts w:hint="eastAsia" w:ascii="宋体" w:hAnsi="宋体" w:eastAsia="宋体" w:cs="宋体"/>
          <w:color w:val="auto"/>
          <w:sz w:val="28"/>
          <w:szCs w:val="28"/>
        </w:rPr>
        <w:t>总平面布置、</w:t>
      </w:r>
      <w:r>
        <w:rPr>
          <w:rFonts w:hint="eastAsia" w:ascii="宋体" w:hAnsi="宋体" w:eastAsia="宋体" w:cs="宋体"/>
          <w:color w:val="auto"/>
          <w:sz w:val="28"/>
          <w:szCs w:val="28"/>
          <w:lang w:eastAsia="zh-CN"/>
        </w:rPr>
        <w:t>建构筑物</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生产</w:t>
      </w:r>
      <w:r>
        <w:rPr>
          <w:rFonts w:hint="eastAsia" w:ascii="宋体" w:hAnsi="宋体" w:eastAsia="宋体" w:cs="宋体"/>
          <w:color w:val="auto"/>
          <w:sz w:val="28"/>
          <w:szCs w:val="28"/>
        </w:rPr>
        <w:t>工艺、</w:t>
      </w:r>
      <w:r>
        <w:rPr>
          <w:rFonts w:hint="eastAsia" w:ascii="宋体" w:hAnsi="宋体" w:eastAsia="宋体" w:cs="宋体"/>
          <w:color w:val="auto"/>
          <w:sz w:val="28"/>
          <w:szCs w:val="28"/>
          <w:lang w:eastAsia="zh-CN"/>
        </w:rPr>
        <w:t>原辅料及产品、</w:t>
      </w:r>
      <w:r>
        <w:rPr>
          <w:rFonts w:hint="eastAsia" w:ascii="宋体" w:hAnsi="宋体" w:eastAsia="宋体" w:cs="宋体"/>
          <w:color w:val="auto"/>
          <w:sz w:val="28"/>
          <w:szCs w:val="28"/>
        </w:rPr>
        <w:t>储存场所、设备设施、配套的给排水、供电、</w:t>
      </w:r>
      <w:r>
        <w:rPr>
          <w:rFonts w:hint="eastAsia" w:ascii="宋体" w:hAnsi="宋体" w:eastAsia="宋体" w:cs="宋体"/>
          <w:color w:val="auto"/>
          <w:sz w:val="28"/>
          <w:szCs w:val="28"/>
          <w:lang w:eastAsia="zh-CN"/>
        </w:rPr>
        <w:t>通风、</w:t>
      </w:r>
      <w:r>
        <w:rPr>
          <w:rFonts w:hint="eastAsia" w:ascii="宋体" w:hAnsi="宋体" w:eastAsia="宋体" w:cs="宋体"/>
          <w:color w:val="auto"/>
          <w:sz w:val="28"/>
          <w:szCs w:val="28"/>
        </w:rPr>
        <w:t>防雷、消防等</w:t>
      </w:r>
      <w:r>
        <w:rPr>
          <w:rFonts w:hint="eastAsia" w:ascii="宋体" w:hAnsi="宋体" w:eastAsia="宋体" w:cs="宋体"/>
          <w:color w:val="auto"/>
          <w:sz w:val="28"/>
          <w:szCs w:val="28"/>
          <w:lang w:eastAsia="zh-CN"/>
        </w:rPr>
        <w:t>公辅设施和</w:t>
      </w:r>
      <w:r>
        <w:rPr>
          <w:rFonts w:hint="eastAsia" w:ascii="宋体" w:hAnsi="宋体" w:eastAsia="宋体" w:cs="宋体"/>
          <w:color w:val="auto"/>
          <w:sz w:val="28"/>
          <w:szCs w:val="28"/>
        </w:rPr>
        <w:t>安全管理等。</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52" w:name="_Toc532976990"/>
      <w:bookmarkStart w:id="53" w:name="_Toc22160"/>
      <w:bookmarkStart w:id="54" w:name="_Toc24091_WPSOffice_Level2"/>
      <w:bookmarkStart w:id="55" w:name="_Toc32611_WPSOffice_Level2"/>
      <w:bookmarkStart w:id="56" w:name="_Toc532976991"/>
      <w:r>
        <w:rPr>
          <w:rFonts w:hint="eastAsia" w:ascii="楷体" w:hAnsi="楷体" w:eastAsia="楷体" w:cs="楷体"/>
          <w:b w:val="0"/>
          <w:bCs/>
          <w:kern w:val="2"/>
          <w:sz w:val="32"/>
          <w:szCs w:val="32"/>
          <w:lang w:val="en-US" w:eastAsia="zh-CN"/>
        </w:rPr>
        <w:t>安全评价程序</w:t>
      </w:r>
      <w:bookmarkEnd w:id="52"/>
      <w:bookmarkEnd w:id="53"/>
      <w:bookmarkEnd w:id="54"/>
      <w:bookmarkEnd w:id="55"/>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bookmarkStart w:id="57" w:name="_Toc333302209"/>
      <w:r>
        <w:rPr>
          <w:rFonts w:hint="eastAsia" w:ascii="Times New Roman" w:hAnsi="Times New Roman" w:eastAsia="黑体" w:cs="Times New Roman"/>
          <w:b w:val="0"/>
          <w:bCs/>
          <w:kern w:val="2"/>
          <w:sz w:val="28"/>
          <w:szCs w:val="28"/>
          <w:lang w:val="en-US" w:eastAsia="zh-CN" w:bidi="ar-SA"/>
        </w:rPr>
        <w:t>确认安全评价范围</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根据我公司与</w:t>
      </w:r>
      <w:r>
        <w:rPr>
          <w:rFonts w:hint="eastAsia" w:cs="Times New Roman"/>
          <w:color w:val="auto"/>
          <w:sz w:val="28"/>
          <w:szCs w:val="28"/>
          <w:lang w:eastAsia="zh-CN"/>
        </w:rPr>
        <w:t>黑山鸿泰化工有限公司</w:t>
      </w:r>
      <w:r>
        <w:rPr>
          <w:rFonts w:hint="eastAsia" w:ascii="Times New Roman" w:hAnsi="Times New Roman" w:eastAsia="宋体" w:cs="Times New Roman"/>
          <w:color w:val="auto"/>
          <w:sz w:val="28"/>
          <w:szCs w:val="28"/>
        </w:rPr>
        <w:t>签订</w:t>
      </w:r>
      <w:r>
        <w:rPr>
          <w:rFonts w:hint="eastAsia" w:ascii="Times New Roman" w:hAnsi="Times New Roman" w:eastAsia="宋体" w:cs="Times New Roman"/>
          <w:color w:val="auto"/>
          <w:sz w:val="28"/>
          <w:szCs w:val="28"/>
          <w:lang w:eastAsia="zh-CN"/>
        </w:rPr>
        <w:t>的</w:t>
      </w:r>
      <w:r>
        <w:rPr>
          <w:rFonts w:hint="eastAsia" w:ascii="Times New Roman" w:hAnsi="Times New Roman" w:eastAsia="宋体" w:cs="Times New Roman"/>
          <w:color w:val="auto"/>
          <w:sz w:val="28"/>
          <w:szCs w:val="28"/>
        </w:rPr>
        <w:t>技术服务合同，明确评价范围。</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搜集、整理所需资料</w:t>
      </w:r>
    </w:p>
    <w:p>
      <w:pPr>
        <w:adjustRightInd w:val="0"/>
        <w:spacing w:line="360" w:lineRule="auto"/>
        <w:ind w:firstLine="560" w:firstLineChars="200"/>
        <w:rPr>
          <w:rFonts w:hint="eastAsia" w:ascii="宋体" w:hAnsi="宋体" w:eastAsia="宋体" w:cs="宋体"/>
          <w:color w:val="auto"/>
          <w:sz w:val="24"/>
        </w:rPr>
      </w:pPr>
      <w:r>
        <w:rPr>
          <w:rFonts w:hint="eastAsia" w:ascii="宋体" w:hAnsi="宋体" w:eastAsia="宋体" w:cs="宋体"/>
          <w:color w:val="auto"/>
          <w:sz w:val="28"/>
          <w:szCs w:val="28"/>
        </w:rPr>
        <w:t>重点收集与</w:t>
      </w:r>
      <w:r>
        <w:rPr>
          <w:rFonts w:hint="eastAsia" w:ascii="宋体" w:hAnsi="宋体" w:cs="宋体"/>
          <w:color w:val="auto"/>
          <w:sz w:val="28"/>
          <w:szCs w:val="28"/>
          <w:lang w:eastAsia="zh-CN"/>
        </w:rPr>
        <w:t>黑山鸿泰化工有限公司</w:t>
      </w:r>
      <w:r>
        <w:rPr>
          <w:rFonts w:hint="eastAsia" w:ascii="宋体" w:hAnsi="宋体" w:eastAsia="宋体" w:cs="宋体"/>
          <w:color w:val="auto"/>
          <w:sz w:val="28"/>
          <w:szCs w:val="28"/>
        </w:rPr>
        <w:t>生产运行有关的各种资料，包</w:t>
      </w:r>
      <w:r>
        <w:rPr>
          <w:rFonts w:hint="eastAsia" w:ascii="宋体" w:hAnsi="宋体" w:eastAsia="宋体" w:cs="宋体"/>
          <w:color w:val="auto"/>
          <w:sz w:val="28"/>
          <w:szCs w:val="28"/>
          <w:lang w:eastAsia="zh-CN"/>
        </w:rPr>
        <w:t>括</w:t>
      </w:r>
      <w:r>
        <w:rPr>
          <w:rFonts w:hint="eastAsia" w:ascii="宋体" w:hAnsi="宋体" w:eastAsia="宋体" w:cs="宋体"/>
          <w:color w:val="auto"/>
          <w:sz w:val="28"/>
          <w:szCs w:val="28"/>
        </w:rPr>
        <w:t>涉及生产运行、设备管理、安全、消防等方面的内容。</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确定安全评价方法</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安全现状评价是在系统的生命周期内的运行阶段，选用定性与定量相结合的综合性评价模式，进行科学、全面、系统的分析与评价，根据评价对象的实际情况，</w:t>
      </w:r>
      <w:r>
        <w:rPr>
          <w:rFonts w:hint="eastAsia" w:ascii="Times New Roman" w:hAnsi="Times New Roman" w:eastAsia="宋体" w:cs="Times New Roman"/>
          <w:color w:val="auto"/>
          <w:sz w:val="28"/>
          <w:szCs w:val="28"/>
          <w:lang w:eastAsia="zh-CN"/>
        </w:rPr>
        <w:t>确定安全评价方法</w:t>
      </w:r>
      <w:r>
        <w:rPr>
          <w:rFonts w:hint="eastAsia" w:ascii="Times New Roman" w:hAnsi="Times New Roman" w:eastAsia="宋体" w:cs="Times New Roman"/>
          <w:color w:val="auto"/>
          <w:sz w:val="28"/>
          <w:szCs w:val="28"/>
        </w:rPr>
        <w:t>。</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定性、定量分析评价</w:t>
      </w:r>
    </w:p>
    <w:p>
      <w:pPr>
        <w:adjustRightInd w:val="0"/>
        <w:spacing w:line="360" w:lineRule="auto"/>
        <w:ind w:firstLine="560" w:firstLineChars="200"/>
        <w:rPr>
          <w:rFonts w:hint="eastAsia" w:ascii="宋体" w:hAnsi="宋体" w:eastAsia="宋体" w:cs="宋体"/>
          <w:color w:val="auto"/>
          <w:sz w:val="24"/>
        </w:rPr>
      </w:pPr>
      <w:r>
        <w:rPr>
          <w:rFonts w:hint="eastAsia" w:ascii="宋体" w:hAnsi="宋体" w:eastAsia="宋体" w:cs="宋体"/>
          <w:color w:val="auto"/>
          <w:sz w:val="28"/>
          <w:szCs w:val="28"/>
        </w:rPr>
        <w:t>通过定性、定量安全评价，重点对工艺流程、操作条件等内容，运用选定的分析方法对生产与储存中存在的危险、有害因素和事故隐患逐一分析，确定事故隐患部位、预测发生事故的严重后果，同时进行风险排序，结合现场调查结果，为制定相应的事故隐患整改计划与方案、安全管理制度和事故应急</w:t>
      </w:r>
      <w:r>
        <w:rPr>
          <w:rFonts w:hint="eastAsia" w:ascii="宋体" w:hAnsi="宋体" w:eastAsia="宋体" w:cs="宋体"/>
          <w:color w:val="auto"/>
          <w:sz w:val="28"/>
          <w:szCs w:val="28"/>
          <w:lang w:eastAsia="zh-CN"/>
        </w:rPr>
        <w:t>等</w:t>
      </w:r>
      <w:r>
        <w:rPr>
          <w:rFonts w:hint="eastAsia" w:ascii="宋体" w:hAnsi="宋体" w:eastAsia="宋体" w:cs="宋体"/>
          <w:color w:val="auto"/>
          <w:sz w:val="28"/>
          <w:szCs w:val="28"/>
        </w:rPr>
        <w:t>提供依据。</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与被评价单位交换意见</w:t>
      </w:r>
    </w:p>
    <w:p>
      <w:pPr>
        <w:adjustRightInd w:val="0"/>
        <w:spacing w:line="360" w:lineRule="auto"/>
        <w:ind w:firstLine="560" w:firstLineChars="200"/>
        <w:rPr>
          <w:rFonts w:hint="eastAsia" w:ascii="宋体" w:hAnsi="宋体" w:eastAsia="宋体" w:cs="宋体"/>
          <w:color w:val="auto"/>
          <w:sz w:val="24"/>
        </w:rPr>
      </w:pPr>
      <w:r>
        <w:rPr>
          <w:rFonts w:hint="eastAsia" w:ascii="宋体" w:hAnsi="宋体" w:eastAsia="宋体" w:cs="宋体"/>
          <w:color w:val="auto"/>
          <w:sz w:val="28"/>
          <w:szCs w:val="28"/>
        </w:rPr>
        <w:t>与</w:t>
      </w:r>
      <w:r>
        <w:rPr>
          <w:rFonts w:hint="eastAsia" w:ascii="宋体" w:hAnsi="宋体" w:cs="宋体"/>
          <w:color w:val="auto"/>
          <w:sz w:val="28"/>
          <w:szCs w:val="28"/>
          <w:lang w:eastAsia="zh-CN"/>
        </w:rPr>
        <w:t>黑山鸿泰化工有限公司</w:t>
      </w:r>
      <w:r>
        <w:rPr>
          <w:rFonts w:hint="eastAsia" w:ascii="宋体" w:hAnsi="宋体" w:eastAsia="宋体" w:cs="宋体"/>
          <w:color w:val="auto"/>
          <w:sz w:val="28"/>
          <w:szCs w:val="28"/>
        </w:rPr>
        <w:t>就生产运行情况与存在的问题及本次安全评价提出的安全对策措施及建议进行沟通与意见交换。</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整理、归纳安全评价结果</w:t>
      </w:r>
    </w:p>
    <w:p>
      <w:pPr>
        <w:adjustRightInd w:val="0"/>
        <w:spacing w:line="360" w:lineRule="auto"/>
        <w:ind w:firstLine="560" w:firstLineChars="200"/>
        <w:rPr>
          <w:rFonts w:hint="eastAsia" w:ascii="宋体" w:hAnsi="宋体" w:eastAsia="宋体" w:cs="宋体"/>
          <w:color w:val="auto"/>
          <w:sz w:val="24"/>
        </w:rPr>
      </w:pPr>
      <w:r>
        <w:rPr>
          <w:rFonts w:hint="eastAsia" w:ascii="宋体" w:hAnsi="宋体" w:eastAsia="宋体" w:cs="宋体"/>
          <w:color w:val="auto"/>
          <w:sz w:val="28"/>
          <w:szCs w:val="28"/>
        </w:rPr>
        <w:t>整理、归纳安全评价结果，列出存在的事故隐患及危害程度，针对存在的问题及事故隐患提出改进措施，改善安全生产现状的建议。根据评价结果，明确指出</w:t>
      </w:r>
      <w:r>
        <w:rPr>
          <w:rFonts w:hint="eastAsia" w:ascii="宋体" w:hAnsi="宋体" w:cs="宋体"/>
          <w:color w:val="auto"/>
          <w:sz w:val="28"/>
          <w:szCs w:val="28"/>
          <w:lang w:eastAsia="zh-CN"/>
        </w:rPr>
        <w:t>黑山鸿泰化工有限公司</w:t>
      </w:r>
      <w:r>
        <w:rPr>
          <w:rFonts w:hint="eastAsia" w:ascii="宋体" w:hAnsi="宋体" w:eastAsia="宋体" w:cs="宋体"/>
          <w:color w:val="auto"/>
          <w:sz w:val="28"/>
          <w:szCs w:val="28"/>
        </w:rPr>
        <w:t>当前的安全生产状态，给出客观、公正的评价结论。</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编制安全评价报告</w:t>
      </w:r>
    </w:p>
    <w:p>
      <w:pPr>
        <w:adjustRightInd w:val="0"/>
        <w:spacing w:line="360" w:lineRule="auto"/>
        <w:ind w:firstLine="560" w:firstLineChars="200"/>
        <w:jc w:val="lef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根据评价的过程及结果，对照相关法律、法规、技术标准，编制安全评价报告。</w:t>
      </w:r>
    </w:p>
    <w:p>
      <w:pPr>
        <w:adjustRightInd w:val="0"/>
        <w:spacing w:line="360" w:lineRule="auto"/>
        <w:ind w:firstLine="560" w:firstLineChars="200"/>
        <w:jc w:val="left"/>
        <w:rPr>
          <w:rFonts w:hint="default" w:ascii="Times New Roman" w:hAnsi="Times New Roman" w:eastAsia="宋体" w:cs="Times New Roman"/>
          <w:color w:val="auto"/>
          <w:sz w:val="28"/>
          <w:szCs w:val="28"/>
        </w:rPr>
        <w:sectPr>
          <w:headerReference r:id="rId6" w:type="default"/>
          <w:footerReference r:id="rId7" w:type="default"/>
          <w:pgSz w:w="11906" w:h="16838"/>
          <w:pgMar w:top="1418" w:right="1208" w:bottom="1134" w:left="1588"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r>
        <w:rPr>
          <w:rFonts w:hint="default" w:ascii="Times New Roman" w:hAnsi="Times New Roman" w:eastAsia="宋体" w:cs="Times New Roman"/>
          <w:color w:val="auto"/>
          <w:sz w:val="28"/>
          <w:szCs w:val="28"/>
        </w:rPr>
        <w:t>安全评价程序框图，见图2-1。</w:t>
      </w:r>
    </w:p>
    <w:p>
      <w:pPr>
        <w:adjustRightInd w:val="0"/>
        <w:spacing w:line="360" w:lineRule="auto"/>
        <w:rPr>
          <w:rFonts w:hint="eastAsia" w:ascii="宋体" w:hAnsi="宋体" w:eastAsia="宋体" w:cs="宋体"/>
          <w:color w:val="auto"/>
          <w:sz w:val="28"/>
          <w:szCs w:val="28"/>
        </w:rPr>
      </w:pPr>
      <w:r>
        <w:rPr>
          <w:rFonts w:hint="eastAsia" w:ascii="宋体" w:hAnsi="宋体" w:eastAsia="宋体" w:cs="宋体"/>
          <w:color w:val="auto"/>
        </w:rPr>
        <mc:AlternateContent>
          <mc:Choice Requires="wpg">
            <w:drawing>
              <wp:anchor distT="0" distB="0" distL="114300" distR="114300" simplePos="0" relativeHeight="251659264" behindDoc="1" locked="0" layoutInCell="1" allowOverlap="1">
                <wp:simplePos x="0" y="0"/>
                <wp:positionH relativeFrom="column">
                  <wp:posOffset>1779270</wp:posOffset>
                </wp:positionH>
                <wp:positionV relativeFrom="paragraph">
                  <wp:posOffset>323850</wp:posOffset>
                </wp:positionV>
                <wp:extent cx="2199005" cy="4274820"/>
                <wp:effectExtent l="5080" t="4445" r="5715" b="18415"/>
                <wp:wrapNone/>
                <wp:docPr id="207" name="组合 179"/>
                <wp:cNvGraphicFramePr/>
                <a:graphic xmlns:a="http://schemas.openxmlformats.org/drawingml/2006/main">
                  <a:graphicData uri="http://schemas.microsoft.com/office/word/2010/wordprocessingGroup">
                    <wpg:wgp>
                      <wpg:cNvGrpSpPr/>
                      <wpg:grpSpPr>
                        <a:xfrm>
                          <a:off x="0" y="0"/>
                          <a:ext cx="2199005" cy="4274820"/>
                          <a:chOff x="0" y="0"/>
                          <a:chExt cx="3012" cy="6603"/>
                        </a:xfrm>
                        <a:effectLst/>
                      </wpg:grpSpPr>
                      <wpg:grpSp>
                        <wpg:cNvPr id="205" name="组合 20"/>
                        <wpg:cNvGrpSpPr/>
                        <wpg:grpSpPr>
                          <a:xfrm>
                            <a:off x="0" y="0"/>
                            <a:ext cx="3012" cy="6603"/>
                            <a:chOff x="0" y="0"/>
                            <a:chExt cx="3012" cy="6603"/>
                          </a:xfrm>
                          <a:effectLst/>
                        </wpg:grpSpPr>
                        <wpg:grpSp>
                          <wpg:cNvPr id="196" name="组合 10"/>
                          <wpg:cNvGrpSpPr/>
                          <wpg:grpSpPr>
                            <a:xfrm>
                              <a:off x="1506" y="576"/>
                              <a:ext cx="40" cy="5454"/>
                              <a:chOff x="0" y="0"/>
                              <a:chExt cx="40" cy="5454"/>
                            </a:xfrm>
                            <a:effectLst/>
                          </wpg:grpSpPr>
                          <wps:wsp>
                            <wps:cNvPr id="191" name="直接连接符 4"/>
                            <wps:cNvCnPr/>
                            <wps:spPr>
                              <a:xfrm>
                                <a:off x="30" y="0"/>
                                <a:ext cx="0" cy="405"/>
                              </a:xfrm>
                              <a:prstGeom prst="line">
                                <a:avLst/>
                              </a:prstGeom>
                              <a:ln w="9525" cap="flat" cmpd="sng">
                                <a:solidFill>
                                  <a:srgbClr val="000000"/>
                                </a:solidFill>
                                <a:prstDash val="solid"/>
                                <a:headEnd type="none" w="med" len="med"/>
                                <a:tailEnd type="triangle" w="med" len="med"/>
                              </a:ln>
                              <a:effectLst/>
                            </wps:spPr>
                            <wps:bodyPr upright="1"/>
                          </wps:wsp>
                          <wps:wsp>
                            <wps:cNvPr id="192" name="直接连接符 5"/>
                            <wps:cNvCnPr/>
                            <wps:spPr>
                              <a:xfrm>
                                <a:off x="0" y="1014"/>
                                <a:ext cx="0" cy="405"/>
                              </a:xfrm>
                              <a:prstGeom prst="line">
                                <a:avLst/>
                              </a:prstGeom>
                              <a:ln w="9525" cap="flat" cmpd="sng">
                                <a:solidFill>
                                  <a:srgbClr val="000000"/>
                                </a:solidFill>
                                <a:prstDash val="solid"/>
                                <a:headEnd type="none" w="med" len="med"/>
                                <a:tailEnd type="triangle" w="med" len="med"/>
                              </a:ln>
                              <a:effectLst/>
                            </wps:spPr>
                            <wps:bodyPr upright="1"/>
                          </wps:wsp>
                          <wps:wsp>
                            <wps:cNvPr id="193" name="直接连接符 6"/>
                            <wps:cNvCnPr/>
                            <wps:spPr>
                              <a:xfrm>
                                <a:off x="10" y="2049"/>
                                <a:ext cx="0" cy="405"/>
                              </a:xfrm>
                              <a:prstGeom prst="line">
                                <a:avLst/>
                              </a:prstGeom>
                              <a:ln w="9525" cap="flat" cmpd="sng">
                                <a:solidFill>
                                  <a:srgbClr val="000000"/>
                                </a:solidFill>
                                <a:prstDash val="solid"/>
                                <a:headEnd type="none" w="med" len="med"/>
                                <a:tailEnd type="triangle" w="med" len="med"/>
                              </a:ln>
                              <a:effectLst/>
                            </wps:spPr>
                            <wps:bodyPr upright="1"/>
                          </wps:wsp>
                          <wps:wsp>
                            <wps:cNvPr id="194" name="直接连接符 7"/>
                            <wps:cNvCnPr/>
                            <wps:spPr>
                              <a:xfrm>
                                <a:off x="26" y="4029"/>
                                <a:ext cx="0" cy="405"/>
                              </a:xfrm>
                              <a:prstGeom prst="line">
                                <a:avLst/>
                              </a:prstGeom>
                              <a:ln w="9525" cap="flat" cmpd="sng">
                                <a:solidFill>
                                  <a:srgbClr val="000000"/>
                                </a:solidFill>
                                <a:prstDash val="solid"/>
                                <a:headEnd type="none" w="med" len="med"/>
                                <a:tailEnd type="triangle" w="med" len="med"/>
                              </a:ln>
                              <a:effectLst/>
                            </wps:spPr>
                            <wps:bodyPr upright="1"/>
                          </wps:wsp>
                          <wps:wsp>
                            <wps:cNvPr id="195" name="直接连接符 8"/>
                            <wps:cNvCnPr/>
                            <wps:spPr>
                              <a:xfrm>
                                <a:off x="40" y="5049"/>
                                <a:ext cx="0" cy="405"/>
                              </a:xfrm>
                              <a:prstGeom prst="line">
                                <a:avLst/>
                              </a:prstGeom>
                              <a:ln w="9525" cap="flat" cmpd="sng">
                                <a:solidFill>
                                  <a:srgbClr val="000000"/>
                                </a:solidFill>
                                <a:prstDash val="solid"/>
                                <a:headEnd type="none" w="med" len="med"/>
                                <a:tailEnd type="triangle" w="med" len="med"/>
                              </a:ln>
                              <a:effectLst/>
                            </wps:spPr>
                            <wps:bodyPr upright="1"/>
                          </wps:wsp>
                        </wpg:grpSp>
                        <wpg:grpSp>
                          <wpg:cNvPr id="204" name="组合 19"/>
                          <wpg:cNvGrpSpPr/>
                          <wpg:grpSpPr>
                            <a:xfrm>
                              <a:off x="0" y="0"/>
                              <a:ext cx="3012" cy="6603"/>
                              <a:chOff x="0" y="0"/>
                              <a:chExt cx="3012" cy="6603"/>
                            </a:xfrm>
                            <a:effectLst/>
                          </wpg:grpSpPr>
                          <wps:wsp>
                            <wps:cNvPr id="197" name="文本框 11"/>
                            <wps:cNvSpPr txBox="1"/>
                            <wps:spPr>
                              <a:xfrm>
                                <a:off x="34" y="0"/>
                                <a:ext cx="2971" cy="578"/>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sz w:val="24"/>
                                      <w:szCs w:val="24"/>
                                    </w:rPr>
                                  </w:pPr>
                                  <w:r>
                                    <w:rPr>
                                      <w:rFonts w:hint="eastAsia"/>
                                      <w:sz w:val="24"/>
                                      <w:szCs w:val="24"/>
                                    </w:rPr>
                                    <w:t>确定评价范围</w:t>
                                  </w:r>
                                </w:p>
                              </w:txbxContent>
                            </wps:txbx>
                            <wps:bodyPr wrap="square" upright="1"/>
                          </wps:wsp>
                          <wps:wsp>
                            <wps:cNvPr id="198" name="文本框 12"/>
                            <wps:cNvSpPr txBox="1"/>
                            <wps:spPr>
                              <a:xfrm>
                                <a:off x="42" y="1020"/>
                                <a:ext cx="2970" cy="578"/>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收集、整理所需资料</w:t>
                                  </w:r>
                                </w:p>
                              </w:txbxContent>
                            </wps:txbx>
                            <wps:bodyPr wrap="square" upright="1"/>
                          </wps:wsp>
                          <wps:wsp>
                            <wps:cNvPr id="199" name="文本框 13"/>
                            <wps:cNvSpPr txBox="1"/>
                            <wps:spPr>
                              <a:xfrm>
                                <a:off x="22" y="2004"/>
                                <a:ext cx="2970" cy="57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确定安全评价方法</w:t>
                                  </w:r>
                                </w:p>
                              </w:txbxContent>
                            </wps:txbx>
                            <wps:bodyPr wrap="square" upright="1"/>
                          </wps:wsp>
                          <wps:wsp>
                            <wps:cNvPr id="200" name="文本框 14"/>
                            <wps:cNvSpPr txBox="1"/>
                            <wps:spPr>
                              <a:xfrm>
                                <a:off x="34" y="4014"/>
                                <a:ext cx="2970" cy="57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与被评价单位交换意见</w:t>
                                  </w:r>
                                </w:p>
                              </w:txbxContent>
                            </wps:txbx>
                            <wps:bodyPr wrap="square" upright="1"/>
                          </wps:wsp>
                          <wps:wsp>
                            <wps:cNvPr id="201" name="文本框 15"/>
                            <wps:cNvSpPr txBox="1"/>
                            <wps:spPr>
                              <a:xfrm>
                                <a:off x="32" y="5040"/>
                                <a:ext cx="2970" cy="57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整理、归纳评价结果</w:t>
                                  </w:r>
                                </w:p>
                              </w:txbxContent>
                            </wps:txbx>
                            <wps:bodyPr wrap="square" upright="1"/>
                          </wps:wsp>
                          <wps:wsp>
                            <wps:cNvPr id="202" name="文本框 16"/>
                            <wps:cNvSpPr txBox="1"/>
                            <wps:spPr>
                              <a:xfrm>
                                <a:off x="34" y="6024"/>
                                <a:ext cx="2970" cy="57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编制安全评价结论</w:t>
                                  </w:r>
                                </w:p>
                              </w:txbxContent>
                            </wps:txbx>
                            <wps:bodyPr wrap="square" upright="1"/>
                          </wps:wsp>
                          <wps:wsp>
                            <wps:cNvPr id="203" name="文本框 18"/>
                            <wps:cNvSpPr txBox="1"/>
                            <wps:spPr>
                              <a:xfrm>
                                <a:off x="0" y="3039"/>
                                <a:ext cx="2970" cy="57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定性、定量分析评价</w:t>
                                  </w:r>
                                </w:p>
                              </w:txbxContent>
                            </wps:txbx>
                            <wps:bodyPr wrap="square" upright="1"/>
                          </wps:wsp>
                        </wpg:grpSp>
                      </wpg:grpSp>
                      <wps:wsp>
                        <wps:cNvPr id="206" name="直接连接符 21"/>
                        <wps:cNvCnPr/>
                        <wps:spPr>
                          <a:xfrm>
                            <a:off x="1532" y="3604"/>
                            <a:ext cx="0" cy="405"/>
                          </a:xfrm>
                          <a:prstGeom prst="line">
                            <a:avLst/>
                          </a:prstGeom>
                          <a:ln w="9525" cap="flat" cmpd="sng">
                            <a:solidFill>
                              <a:srgbClr val="000000"/>
                            </a:solidFill>
                            <a:prstDash val="solid"/>
                            <a:headEnd type="none" w="med" len="med"/>
                            <a:tailEnd type="triangle" w="med" len="med"/>
                          </a:ln>
                          <a:effectLst/>
                        </wps:spPr>
                        <wps:bodyPr upright="1"/>
                      </wps:wsp>
                    </wpg:wgp>
                  </a:graphicData>
                </a:graphic>
              </wp:anchor>
            </w:drawing>
          </mc:Choice>
          <mc:Fallback>
            <w:pict>
              <v:group id="组合 179" o:spid="_x0000_s1026" o:spt="203" style="position:absolute;left:0pt;margin-left:140.1pt;margin-top:25.5pt;height:336.6pt;width:173.15pt;z-index:-251657216;mso-width-relative:page;mso-height-relative:page;" coordsize="3012,6603" o:gfxdata="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">
                <o:lock v:ext="edit" aspectratio="f"/>
                <v:group id="组合 20" o:spid="_x0000_s1026" o:spt="203" style="position:absolute;left:0;top:0;height:6603;width:3012;" coordsize="3012,6603" o:gfxdata="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GyF81vwAAANwAAAAPAAAAAAAAAAEAIAAAACIAAABkcnMvZG93bnJldi54&#10;bWxQSwECFAAUAAAACACHTuJAMy8FnjsAAAA5AAAAFQAAAAAAAAABACAAAAAOAQAAZHJzL2dyb3Vw&#10;c2hhcGV4bWwueG1sUEsFBgAAAAAGAAYAYAEAAMsDAAAAAA==&#10;">
                  <o:lock v:ext="edit" aspectratio="f"/>
                  <v:group id="组合 10" o:spid="_x0000_s1026" o:spt="203" style="position:absolute;left:1506;top:576;height:5454;width:40;" coordsize="40,5454" o:gfxdata="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TU1ub0AAADcAAAADwAAAAAAAAABACAAAAAiAAAAZHJzL2Rvd25yZXYueG1s&#10;UEsBAhQAFAAAAAgAh07iQDMvBZ47AAAAOQAAABUAAAAAAAAAAQAgAAAADAEAAGRycy9ncm91cHNo&#10;YXBleG1sLnhtbFBLBQYAAAAABgAGAGABAADJAwAAAAA=&#10;">
                    <o:lock v:ext="edit" aspectratio="f"/>
                    <v:line id="直接连接符 4" o:spid="_x0000_s1026" o:spt="20" style="position:absolute;left:30;top:0;height:405;width:0;" filled="f" stroked="t" coordsize="21600,21600" o:gfxdata="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86q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5" o:spid="_x0000_s1026" o:spt="20" style="position:absolute;left:0;top:1014;height:405;width:0;" filled="f" stroked="t" coordsize="21600,21600" o:gfxdata="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lQ3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6" o:spid="_x0000_s1026" o:spt="20" style="position:absolute;left:10;top:2049;height:405;width:0;" filled="f" stroked="t" coordsize="21600,21600" o:gfxdata="UEsDBAoAAAAAAIdO4kAAAAAAAAAAAAAAAAAEAAAAZHJzL1BLAwQUAAAACACHTuJA/mX1Rr0AAADc&#10;AAAADwAAAGRycy9kb3ducmV2LnhtbEVPS2vCQBC+F/wPywi91U0slBh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fVG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7" o:spid="_x0000_s1026" o:spt="20" style="position:absolute;left:26;top:4029;height:405;width:0;" filled="f" stroked="t" coordsize="21600,21600" o:gfxdata="UEsDBAoAAAAAAIdO4kAAAAAAAAAAAAAAAAAEAAAAZHJzL1BLAwQUAAAACACHTuJAcYxtMr0AAADc&#10;AAAADwAAAGRycy9kb3ducmV2LnhtbEVPS2vCQBC+F/wPywi91U2klBh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G0y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8" o:spid="_x0000_s1026" o:spt="20" style="position:absolute;left:40;top:5049;height:405;width:0;" filled="f" stroked="t" coordsize="21600,21600" o:gfxdata="UEsDBAoAAAAAAIdO4kAAAAAAAAAAAAAAAAAEAAAAZHJzL1BLAwQUAAAACACHTuJAHsDIqb0AAADc&#10;AAAADwAAAGRycy9kb3ducmV2LnhtbEVPS2vCQBC+F/wPywi91U2Elhh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wMip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v:group id="组合 19" o:spid="_x0000_s1026" o:spt="203" style="position:absolute;left:0;top:0;height:6603;width:3012;" coordsize="3012,6603" o:gfxdata="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phPquvwAAANwAAAAPAAAAAAAAAAEAIAAAACIAAABkcnMvZG93bnJldi54&#10;bWxQSwECFAAUAAAACACHTuJAMy8FnjsAAAA5AAAAFQAAAAAAAAABACAAAAAOAQAAZHJzL2dyb3Vw&#10;c2hhcGV4bWwueG1sUEsFBgAAAAAGAAYAYAEAAMsDAAAAAA==&#10;">
                    <o:lock v:ext="edit" aspectratio="f"/>
                    <v:shape id="文本框 11" o:spid="_x0000_s1026" o:spt="202" type="#_x0000_t202" style="position:absolute;left:34;top:0;height:578;width:2971;" fillcolor="#FFFFFF" filled="t" stroked="t" coordsize="21600,21600" o:gfxdata="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htNli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spacing w:line="360" w:lineRule="auto"/>
                              <w:jc w:val="center"/>
                              <w:rPr>
                                <w:sz w:val="24"/>
                                <w:szCs w:val="24"/>
                              </w:rPr>
                            </w:pPr>
                            <w:r>
                              <w:rPr>
                                <w:rFonts w:hint="eastAsia"/>
                                <w:sz w:val="24"/>
                                <w:szCs w:val="24"/>
                              </w:rPr>
                              <w:t>确定评价范围</w:t>
                            </w:r>
                          </w:p>
                        </w:txbxContent>
                      </v:textbox>
                    </v:shape>
                    <v:shape id="文本框 12" o:spid="_x0000_s1026" o:spt="202" type="#_x0000_t202" style="position:absolute;left:42;top:1020;height:578;width:2970;" fillcolor="#FFFFFF" filled="t" stroked="t" coordsize="21600,21600" o:gfxdata="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yoiq/&#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收集、整理所需资料</w:t>
                            </w:r>
                          </w:p>
                        </w:txbxContent>
                      </v:textbox>
                    </v:shape>
                    <v:shape id="文本框 13" o:spid="_x0000_s1026" o:spt="202" type="#_x0000_t202" style="position:absolute;left:22;top:2004;height:579;width:2970;" fillcolor="#FFFFFF" filled="t" stroked="t" coordsize="21600,21600" o:gfxdata="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B7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确定安全评价方法</w:t>
                            </w:r>
                          </w:p>
                        </w:txbxContent>
                      </v:textbox>
                    </v:shape>
                    <v:shape id="文本框 14" o:spid="_x0000_s1026" o:spt="202" type="#_x0000_t202" style="position:absolute;left:34;top:4014;height:579;width:2970;" fillcolor="#FFFFFF" filled="t" stroked="t" coordsize="21600,21600" o:gfxdata="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q1rX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与被评价单位交换意见</w:t>
                            </w:r>
                          </w:p>
                        </w:txbxContent>
                      </v:textbox>
                    </v:shape>
                    <v:shape id="文本框 15" o:spid="_x0000_s1026" o:spt="202" type="#_x0000_t202" style="position:absolute;left:32;top:5040;height:579;width:2970;" fillcolor="#FFFFFF" filled="t" stroked="t" coordsize="21600,21600" o:gfxdata="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n/0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整理、归纳评价结果</w:t>
                            </w:r>
                          </w:p>
                        </w:txbxContent>
                      </v:textbox>
                    </v:shape>
                    <v:shape id="文本框 16" o:spid="_x0000_s1026" o:spt="202" type="#_x0000_t202" style="position:absolute;left:34;top:6024;height:579;width:2970;" fillcolor="#FFFFFF" filled="t" stroked="t" coordsize="21600,21600" o:gfxdata="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zVhO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编制安全评价结论</w:t>
                            </w:r>
                          </w:p>
                        </w:txbxContent>
                      </v:textbox>
                    </v:shape>
                    <v:shape id="文本框 18" o:spid="_x0000_s1026" o:spt="202" type="#_x0000_t202" style="position:absolute;left:0;top:3039;height:579;width:2970;" fillcolor="#FFFFFF" filled="t" stroked="t" coordsize="21600,21600" o:gfxdata="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5xK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line="360" w:lineRule="auto"/>
                              <w:jc w:val="center"/>
                              <w:rPr>
                                <w:rFonts w:hint="eastAsia" w:ascii="Calibri" w:hAnsi="Calibri" w:eastAsia="宋体" w:cs="Times New Roman"/>
                                <w:sz w:val="24"/>
                                <w:szCs w:val="24"/>
                              </w:rPr>
                            </w:pPr>
                            <w:r>
                              <w:rPr>
                                <w:rFonts w:hint="eastAsia" w:ascii="Calibri" w:hAnsi="Calibri" w:eastAsia="宋体" w:cs="Times New Roman"/>
                                <w:sz w:val="24"/>
                                <w:szCs w:val="24"/>
                              </w:rPr>
                              <w:t>定性、定量分析评价</w:t>
                            </w:r>
                          </w:p>
                        </w:txbxContent>
                      </v:textbox>
                    </v:shape>
                  </v:group>
                </v:group>
                <v:line id="直接连接符 21" o:spid="_x0000_s1026" o:spt="20" style="position:absolute;left:1532;top:3604;height:405;width:0;" filled="f" stroked="t" coordsize="21600,21600" o:gfxdata="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09oi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p>
    <w:p>
      <w:pPr>
        <w:adjustRightInd w:val="0"/>
        <w:spacing w:line="360" w:lineRule="auto"/>
        <w:ind w:firstLine="560" w:firstLineChars="200"/>
        <w:rPr>
          <w:rFonts w:hint="eastAsia" w:ascii="宋体" w:hAnsi="宋体" w:eastAsia="宋体" w:cs="宋体"/>
          <w:color w:val="auto"/>
          <w:sz w:val="28"/>
          <w:szCs w:val="28"/>
        </w:rPr>
      </w:pPr>
    </w:p>
    <w:bookmarkEnd w:id="57"/>
    <w:p>
      <w:pPr>
        <w:spacing w:line="360" w:lineRule="auto"/>
        <w:rPr>
          <w:rFonts w:hint="eastAsia" w:ascii="宋体" w:hAnsi="宋体" w:eastAsia="宋体" w:cs="宋体"/>
          <w:color w:val="auto"/>
          <w:sz w:val="28"/>
          <w:szCs w:val="28"/>
        </w:rPr>
      </w:pPr>
    </w:p>
    <w:p>
      <w:pPr>
        <w:spacing w:line="360" w:lineRule="auto"/>
        <w:rPr>
          <w:rFonts w:hint="eastAsia" w:ascii="宋体" w:hAnsi="宋体" w:eastAsia="宋体" w:cs="宋体"/>
          <w:color w:val="auto"/>
          <w:sz w:val="28"/>
          <w:szCs w:val="28"/>
        </w:rPr>
      </w:pPr>
    </w:p>
    <w:p>
      <w:pPr>
        <w:widowControl/>
        <w:tabs>
          <w:tab w:val="left" w:pos="1276"/>
        </w:tabs>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pStyle w:val="24"/>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left="0" w:leftChars="0" w:firstLine="0" w:firstLineChars="0"/>
        <w:jc w:val="center"/>
        <w:textAlignment w:val="top"/>
        <w:outlineLvl w:val="9"/>
        <w:rPr>
          <w:rFonts w:hint="default" w:ascii="Times New Roman" w:hAnsi="Times New Roman" w:eastAsia="黑体" w:cs="Times New Roman"/>
          <w:b w:val="0"/>
          <w:bCs/>
          <w:color w:val="auto"/>
          <w:spacing w:val="0"/>
          <w:kern w:val="2"/>
          <w:sz w:val="21"/>
          <w:szCs w:val="21"/>
          <w:lang w:val="en-US" w:eastAsia="zh-CN" w:bidi="ar-SA"/>
        </w:rPr>
      </w:pPr>
      <w:r>
        <w:rPr>
          <w:rFonts w:hint="default" w:ascii="Times New Roman" w:hAnsi="Times New Roman" w:eastAsia="黑体" w:cs="Times New Roman"/>
          <w:b w:val="0"/>
          <w:bCs/>
          <w:color w:val="auto"/>
          <w:spacing w:val="0"/>
          <w:kern w:val="2"/>
          <w:sz w:val="21"/>
          <w:szCs w:val="21"/>
          <w:lang w:val="en-US" w:eastAsia="zh-CN" w:bidi="ar-SA"/>
        </w:rPr>
        <w:t>图2-1 安全评价程序框图</w:t>
      </w:r>
    </w:p>
    <w:p>
      <w:pPr>
        <w:adjustRightInd w:val="0"/>
        <w:snapToGrid w:val="0"/>
        <w:spacing w:line="360" w:lineRule="auto"/>
        <w:rPr>
          <w:rFonts w:hint="eastAsia" w:ascii="宋体" w:hAnsi="宋体" w:eastAsia="宋体" w:cs="宋体"/>
          <w:color w:val="auto"/>
          <w:sz w:val="28"/>
        </w:rPr>
      </w:pPr>
    </w:p>
    <w:p>
      <w:pPr>
        <w:adjustRightInd w:val="0"/>
        <w:snapToGrid w:val="0"/>
        <w:spacing w:line="360" w:lineRule="auto"/>
        <w:rPr>
          <w:rFonts w:hint="eastAsia" w:ascii="宋体" w:hAnsi="宋体" w:eastAsia="宋体" w:cs="宋体"/>
          <w:color w:val="auto"/>
          <w:sz w:val="28"/>
        </w:rPr>
      </w:pPr>
    </w:p>
    <w:p>
      <w:pPr>
        <w:spacing w:line="360" w:lineRule="auto"/>
        <w:rPr>
          <w:rFonts w:hint="eastAsia" w:ascii="宋体" w:hAnsi="宋体" w:eastAsia="宋体" w:cs="宋体"/>
          <w:color w:val="auto"/>
          <w:sz w:val="28"/>
          <w:szCs w:val="28"/>
        </w:rPr>
      </w:pPr>
    </w:p>
    <w:p>
      <w:pPr>
        <w:pStyle w:val="24"/>
        <w:rPr>
          <w:rFonts w:hint="eastAsia" w:ascii="宋体" w:hAnsi="宋体" w:eastAsia="宋体" w:cs="宋体"/>
          <w:color w:val="auto"/>
          <w:sz w:val="28"/>
          <w:szCs w:val="28"/>
        </w:rPr>
      </w:pPr>
    </w:p>
    <w:p>
      <w:pPr>
        <w:pStyle w:val="24"/>
        <w:rPr>
          <w:rFonts w:hint="eastAsia" w:ascii="宋体" w:hAnsi="宋体" w:eastAsia="宋体" w:cs="宋体"/>
          <w:color w:val="auto"/>
          <w:sz w:val="28"/>
          <w:szCs w:val="28"/>
        </w:rPr>
      </w:pPr>
    </w:p>
    <w:p>
      <w:pPr>
        <w:pStyle w:val="24"/>
        <w:rPr>
          <w:rFonts w:hint="eastAsia" w:ascii="宋体" w:hAnsi="宋体" w:eastAsia="宋体" w:cs="宋体"/>
          <w:color w:val="auto"/>
          <w:sz w:val="28"/>
          <w:szCs w:val="28"/>
        </w:rPr>
      </w:pPr>
    </w:p>
    <w:p>
      <w:pPr>
        <w:pStyle w:val="24"/>
        <w:rPr>
          <w:rFonts w:hint="eastAsia" w:ascii="宋体" w:hAnsi="宋体" w:eastAsia="宋体" w:cs="宋体"/>
          <w:color w:val="auto"/>
          <w:sz w:val="28"/>
          <w:szCs w:val="28"/>
        </w:rPr>
      </w:pPr>
    </w:p>
    <w:p>
      <w:pPr>
        <w:pStyle w:val="24"/>
        <w:rPr>
          <w:rFonts w:hint="eastAsia" w:ascii="宋体" w:hAnsi="宋体" w:eastAsia="宋体" w:cs="宋体"/>
          <w:color w:val="auto"/>
          <w:sz w:val="28"/>
          <w:szCs w:val="28"/>
        </w:rPr>
      </w:pPr>
    </w:p>
    <w:p>
      <w:pPr>
        <w:pStyle w:val="24"/>
        <w:rPr>
          <w:rFonts w:hint="eastAsia" w:ascii="宋体" w:hAnsi="宋体" w:eastAsia="宋体" w:cs="宋体"/>
          <w:color w:val="auto"/>
          <w:sz w:val="28"/>
          <w:szCs w:val="28"/>
        </w:rPr>
      </w:pP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58" w:name="_Toc3945_WPSOffice_Level1"/>
      <w:bookmarkStart w:id="59" w:name="_Toc29797"/>
      <w:bookmarkStart w:id="60" w:name="_Toc4059_WPSOffice_Level1"/>
      <w:bookmarkStart w:id="61" w:name="_Toc29118_WPSOffice_Level1"/>
      <w:r>
        <w:rPr>
          <w:rFonts w:hint="eastAsia" w:ascii="Times New Roman" w:hAnsi="Times New Roman" w:eastAsia="黑体" w:cs="Times New Roman"/>
          <w:b w:val="0"/>
          <w:bCs/>
          <w:sz w:val="32"/>
          <w:szCs w:val="32"/>
        </w:rPr>
        <w:t>采用的安全评价方法</w:t>
      </w:r>
      <w:bookmarkEnd w:id="56"/>
      <w:bookmarkEnd w:id="58"/>
      <w:bookmarkEnd w:id="59"/>
      <w:bookmarkEnd w:id="60"/>
      <w:bookmarkEnd w:id="61"/>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62" w:name="_Toc532976992"/>
      <w:bookmarkStart w:id="63" w:name="_Toc5252"/>
      <w:bookmarkStart w:id="64" w:name="_Toc19602_WPSOffice_Level2"/>
      <w:bookmarkStart w:id="65" w:name="_Toc30591_WPSOffice_Level2"/>
      <w:r>
        <w:rPr>
          <w:rFonts w:hint="eastAsia" w:ascii="楷体" w:hAnsi="楷体" w:eastAsia="楷体" w:cs="楷体"/>
          <w:b w:val="0"/>
          <w:bCs/>
          <w:kern w:val="2"/>
          <w:sz w:val="32"/>
          <w:szCs w:val="32"/>
          <w:lang w:val="en-US" w:eastAsia="zh-CN"/>
        </w:rPr>
        <w:t>评价单元划分</w:t>
      </w:r>
      <w:bookmarkEnd w:id="62"/>
      <w:bookmarkEnd w:id="63"/>
      <w:bookmarkEnd w:id="64"/>
      <w:bookmarkEnd w:id="65"/>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评价单元就是在危险、有害因素分析的基础上，根据评价目标和评价方法的需要，将系统划分为有限、确定的范围进行评价的单元。</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评价单元的划分原则如下：</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（1）以危险、有害因素的类别为主划分。</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（2）以装置、设施和工艺流程的特征划分。</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（3）可以将安全管理、外部周边情况分别划分为一个评价单元。</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w:t>
      </w: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rPr>
        <w:t>的实际情况，依照划分评价单元原则，本次评价划分以下</w:t>
      </w:r>
      <w:r>
        <w:rPr>
          <w:rFonts w:hint="eastAsia" w:ascii="Times New Roman" w:hAnsi="Times New Roman" w:eastAsia="宋体" w:cs="Times New Roman"/>
          <w:color w:val="auto"/>
          <w:sz w:val="28"/>
          <w:szCs w:val="28"/>
          <w:lang w:eastAsia="zh-CN"/>
        </w:rPr>
        <w:t>四</w:t>
      </w:r>
      <w:r>
        <w:rPr>
          <w:rFonts w:hint="default" w:ascii="Times New Roman" w:hAnsi="Times New Roman" w:eastAsia="宋体" w:cs="Times New Roman"/>
          <w:color w:val="auto"/>
          <w:sz w:val="28"/>
          <w:szCs w:val="28"/>
        </w:rPr>
        <w:t>个评价单元：</w:t>
      </w:r>
      <w:r>
        <w:rPr>
          <w:rFonts w:hint="default" w:ascii="Times New Roman" w:hAnsi="Times New Roman" w:eastAsia="宋体" w:cs="Times New Roman"/>
          <w:color w:val="auto"/>
          <w:sz w:val="28"/>
          <w:szCs w:val="28"/>
          <w:highlight w:val="none"/>
          <w:lang w:eastAsia="zh-CN"/>
        </w:rPr>
        <w:t>周边环境</w:t>
      </w:r>
      <w:r>
        <w:rPr>
          <w:rFonts w:hint="eastAsia" w:ascii="Times New Roman" w:hAnsi="Times New Roman" w:eastAsia="宋体" w:cs="Times New Roman"/>
          <w:color w:val="auto"/>
          <w:sz w:val="28"/>
          <w:szCs w:val="28"/>
          <w:highlight w:val="none"/>
          <w:lang w:eastAsia="zh-CN"/>
        </w:rPr>
        <w:t>及</w:t>
      </w:r>
      <w:r>
        <w:rPr>
          <w:rFonts w:hint="default" w:ascii="Times New Roman" w:hAnsi="Times New Roman" w:eastAsia="宋体" w:cs="Times New Roman"/>
          <w:color w:val="auto"/>
          <w:sz w:val="28"/>
          <w:szCs w:val="28"/>
          <w:highlight w:val="none"/>
        </w:rPr>
        <w:t>总平面布置单元、生产</w:t>
      </w:r>
      <w:r>
        <w:rPr>
          <w:rFonts w:hint="eastAsia" w:ascii="Times New Roman" w:hAnsi="Times New Roman" w:eastAsia="宋体" w:cs="Times New Roman"/>
          <w:color w:val="auto"/>
          <w:sz w:val="28"/>
          <w:szCs w:val="28"/>
          <w:highlight w:val="none"/>
          <w:lang w:eastAsia="zh-CN"/>
        </w:rPr>
        <w:t>单元、</w:t>
      </w:r>
      <w:r>
        <w:rPr>
          <w:rFonts w:hint="default" w:ascii="Times New Roman" w:hAnsi="Times New Roman" w:eastAsia="宋体" w:cs="Times New Roman"/>
          <w:color w:val="auto"/>
          <w:sz w:val="28"/>
          <w:szCs w:val="28"/>
          <w:highlight w:val="none"/>
        </w:rPr>
        <w:t>储</w:t>
      </w:r>
      <w:r>
        <w:rPr>
          <w:rFonts w:hint="eastAsia" w:ascii="Times New Roman" w:hAnsi="Times New Roman" w:eastAsia="宋体" w:cs="Times New Roman"/>
          <w:color w:val="auto"/>
          <w:sz w:val="28"/>
          <w:szCs w:val="28"/>
          <w:highlight w:val="none"/>
          <w:lang w:eastAsia="zh-CN"/>
        </w:rPr>
        <w:t>存</w:t>
      </w:r>
      <w:r>
        <w:rPr>
          <w:rFonts w:hint="default" w:ascii="Times New Roman" w:hAnsi="Times New Roman" w:eastAsia="宋体" w:cs="Times New Roman"/>
          <w:color w:val="auto"/>
          <w:sz w:val="28"/>
          <w:szCs w:val="28"/>
          <w:highlight w:val="none"/>
        </w:rPr>
        <w:t>单元、</w:t>
      </w:r>
      <w:r>
        <w:rPr>
          <w:rFonts w:hint="default" w:ascii="Times New Roman" w:hAnsi="Times New Roman" w:eastAsia="宋体" w:cs="Times New Roman"/>
          <w:color w:val="auto"/>
          <w:sz w:val="28"/>
          <w:szCs w:val="28"/>
          <w:highlight w:val="none"/>
          <w:lang w:eastAsia="zh-CN"/>
        </w:rPr>
        <w:t>公辅设施</w:t>
      </w:r>
      <w:r>
        <w:rPr>
          <w:rFonts w:hint="default" w:ascii="Times New Roman" w:hAnsi="Times New Roman" w:eastAsia="宋体" w:cs="Times New Roman"/>
          <w:color w:val="auto"/>
          <w:sz w:val="28"/>
          <w:szCs w:val="28"/>
          <w:highlight w:val="none"/>
        </w:rPr>
        <w:t>单元和安全管理单元</w:t>
      </w:r>
      <w:r>
        <w:rPr>
          <w:rFonts w:hint="default" w:ascii="Times New Roman" w:hAnsi="Times New Roman" w:eastAsia="宋体" w:cs="Times New Roman"/>
          <w:color w:val="auto"/>
          <w:sz w:val="28"/>
          <w:szCs w:val="28"/>
        </w:rPr>
        <w:t>。</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66" w:name="_Toc19867_WPSOffice_Level2"/>
      <w:bookmarkStart w:id="67" w:name="_Toc1473"/>
      <w:bookmarkStart w:id="68" w:name="_Toc15823_WPSOffice_Level2"/>
      <w:bookmarkStart w:id="69" w:name="_Toc532976993"/>
      <w:r>
        <w:rPr>
          <w:rFonts w:hint="eastAsia" w:ascii="楷体" w:hAnsi="楷体" w:eastAsia="楷体" w:cs="楷体"/>
          <w:b w:val="0"/>
          <w:bCs/>
          <w:kern w:val="2"/>
          <w:sz w:val="32"/>
          <w:szCs w:val="32"/>
          <w:lang w:val="en-US" w:eastAsia="zh-CN"/>
        </w:rPr>
        <w:t>安全评价方法的选择</w:t>
      </w:r>
      <w:bookmarkEnd w:id="66"/>
      <w:bookmarkEnd w:id="67"/>
      <w:bookmarkEnd w:id="68"/>
      <w:bookmarkEnd w:id="69"/>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根据</w:t>
      </w: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的</w:t>
      </w:r>
      <w:r>
        <w:rPr>
          <w:rFonts w:hint="eastAsia" w:ascii="Times New Roman" w:hAnsi="Times New Roman" w:eastAsia="宋体" w:cs="Times New Roman"/>
          <w:color w:val="auto"/>
          <w:sz w:val="28"/>
          <w:szCs w:val="28"/>
        </w:rPr>
        <w:t>生产工艺、生产设施的特性，按照科学、合理、适用的原则，</w:t>
      </w:r>
      <w:r>
        <w:rPr>
          <w:rFonts w:hint="eastAsia" w:ascii="Times New Roman" w:hAnsi="Times New Roman" w:eastAsia="宋体" w:cs="Times New Roman"/>
          <w:color w:val="auto"/>
          <w:sz w:val="28"/>
          <w:szCs w:val="28"/>
          <w:lang w:eastAsia="zh-CN"/>
        </w:rPr>
        <w:t>本次评价</w:t>
      </w:r>
      <w:r>
        <w:rPr>
          <w:rFonts w:hint="default" w:ascii="Times New Roman" w:hAnsi="Times New Roman" w:eastAsia="宋体" w:cs="Times New Roman"/>
          <w:color w:val="auto"/>
          <w:sz w:val="28"/>
          <w:szCs w:val="28"/>
        </w:rPr>
        <w:t>选用安全检查表法作为主要评价方法</w:t>
      </w:r>
      <w:r>
        <w:rPr>
          <w:rFonts w:hint="eastAsia" w:ascii="Times New Roman" w:hAnsi="Times New Roman" w:eastAsia="宋体" w:cs="Times New Roman"/>
          <w:color w:val="auto"/>
          <w:sz w:val="28"/>
          <w:szCs w:val="28"/>
          <w:lang w:eastAsia="zh-CN"/>
        </w:rPr>
        <w:t>，各单元评价方法如下</w:t>
      </w:r>
      <w:r>
        <w:rPr>
          <w:rFonts w:hint="eastAsia" w:ascii="Times New Roman" w:hAnsi="Times New Roman" w:eastAsia="宋体" w:cs="Times New Roman"/>
          <w:color w:val="auto"/>
          <w:sz w:val="28"/>
          <w:szCs w:val="28"/>
        </w:rPr>
        <w:t>：</w:t>
      </w:r>
    </w:p>
    <w:p>
      <w:pPr>
        <w:pStyle w:val="24"/>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left="0" w:leftChars="0" w:firstLine="0" w:firstLineChars="0"/>
        <w:jc w:val="center"/>
        <w:textAlignment w:val="top"/>
        <w:outlineLvl w:val="9"/>
        <w:rPr>
          <w:rFonts w:hint="eastAsia" w:ascii="Times New Roman" w:hAnsi="Times New Roman" w:eastAsia="黑体" w:cs="Times New Roman"/>
          <w:b w:val="0"/>
          <w:bCs/>
          <w:color w:val="auto"/>
          <w:spacing w:val="0"/>
          <w:kern w:val="2"/>
          <w:sz w:val="21"/>
          <w:szCs w:val="21"/>
          <w:lang w:val="en-US" w:eastAsia="zh-CN" w:bidi="ar-SA"/>
        </w:rPr>
      </w:pPr>
      <w:r>
        <w:rPr>
          <w:rFonts w:hint="eastAsia" w:ascii="Times New Roman" w:hAnsi="Times New Roman" w:eastAsia="黑体" w:cs="Times New Roman"/>
          <w:b w:val="0"/>
          <w:bCs/>
          <w:color w:val="auto"/>
          <w:spacing w:val="0"/>
          <w:kern w:val="2"/>
          <w:sz w:val="21"/>
          <w:szCs w:val="21"/>
          <w:lang w:val="en-US" w:eastAsia="zh-CN" w:bidi="ar-SA"/>
        </w:rPr>
        <w:t>表3-1 评价单元与评价方法的对应表</w:t>
      </w:r>
    </w:p>
    <w:tbl>
      <w:tblPr>
        <w:tblStyle w:val="37"/>
        <w:tblW w:w="8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3158"/>
        <w:gridCol w:w="4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45" w:type="dxa"/>
            <w:noWrap w:val="0"/>
            <w:vAlign w:val="center"/>
          </w:tcPr>
          <w:p>
            <w:pPr>
              <w:widowControl/>
              <w:tabs>
                <w:tab w:val="left" w:pos="735"/>
              </w:tabs>
              <w:spacing w:line="240" w:lineRule="auto"/>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3158" w:type="dxa"/>
            <w:noWrap w:val="0"/>
            <w:vAlign w:val="center"/>
          </w:tcPr>
          <w:p>
            <w:pPr>
              <w:widowControl/>
              <w:tabs>
                <w:tab w:val="left" w:pos="735"/>
              </w:tabs>
              <w:spacing w:line="240" w:lineRule="auto"/>
              <w:ind w:firstLine="422"/>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评价单元</w:t>
            </w:r>
          </w:p>
        </w:tc>
        <w:tc>
          <w:tcPr>
            <w:tcW w:w="4262" w:type="dxa"/>
            <w:noWrap w:val="0"/>
            <w:vAlign w:val="center"/>
          </w:tcPr>
          <w:p>
            <w:pPr>
              <w:widowControl/>
              <w:tabs>
                <w:tab w:val="left" w:pos="735"/>
              </w:tabs>
              <w:spacing w:line="240" w:lineRule="auto"/>
              <w:ind w:firstLine="422"/>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5"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158"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周边环境和</w:t>
            </w:r>
            <w:r>
              <w:rPr>
                <w:rFonts w:hint="default" w:ascii="Times New Roman" w:hAnsi="Times New Roman" w:eastAsia="宋体" w:cs="Times New Roman"/>
                <w:color w:val="auto"/>
                <w:sz w:val="21"/>
                <w:szCs w:val="21"/>
              </w:rPr>
              <w:t>总平面布置单元</w:t>
            </w:r>
          </w:p>
        </w:tc>
        <w:tc>
          <w:tcPr>
            <w:tcW w:w="4262"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5"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158"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生产单元</w:t>
            </w:r>
          </w:p>
        </w:tc>
        <w:tc>
          <w:tcPr>
            <w:tcW w:w="4262"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安全检查表法</w:t>
            </w:r>
            <w:r>
              <w:rPr>
                <w:rFonts w:hint="eastAsia" w:ascii="宋体" w:hAnsi="宋体" w:cs="宋体"/>
                <w:szCs w:val="21"/>
              </w:rPr>
              <w:t>、作业条件危险性分析法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5" w:type="dxa"/>
            <w:noWrap w:val="0"/>
            <w:vAlign w:val="center"/>
          </w:tcPr>
          <w:p>
            <w:pPr>
              <w:widowControl/>
              <w:tabs>
                <w:tab w:val="left" w:pos="735"/>
              </w:tabs>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3</w:t>
            </w:r>
          </w:p>
        </w:tc>
        <w:tc>
          <w:tcPr>
            <w:tcW w:w="3158" w:type="dxa"/>
            <w:noWrap w:val="0"/>
            <w:vAlign w:val="center"/>
          </w:tcPr>
          <w:p>
            <w:pPr>
              <w:widowControl/>
              <w:tabs>
                <w:tab w:val="left" w:pos="735"/>
              </w:tabs>
              <w:spacing w:line="240" w:lineRule="auto"/>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储存单元</w:t>
            </w:r>
          </w:p>
        </w:tc>
        <w:tc>
          <w:tcPr>
            <w:tcW w:w="4262"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安全检查表法</w:t>
            </w:r>
            <w:r>
              <w:rPr>
                <w:rFonts w:hint="eastAsia" w:ascii="宋体" w:hAnsi="宋体" w:cs="宋体"/>
                <w:szCs w:val="21"/>
              </w:rPr>
              <w:t>、作业条件危险性分析法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5" w:type="dxa"/>
            <w:noWrap w:val="0"/>
            <w:vAlign w:val="center"/>
          </w:tcPr>
          <w:p>
            <w:pPr>
              <w:widowControl/>
              <w:tabs>
                <w:tab w:val="left" w:pos="735"/>
              </w:tabs>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4</w:t>
            </w:r>
          </w:p>
        </w:tc>
        <w:tc>
          <w:tcPr>
            <w:tcW w:w="3158"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公辅设施</w:t>
            </w:r>
            <w:r>
              <w:rPr>
                <w:rFonts w:hint="default" w:ascii="Times New Roman" w:hAnsi="Times New Roman" w:eastAsia="宋体" w:cs="Times New Roman"/>
                <w:color w:val="auto"/>
                <w:sz w:val="21"/>
                <w:szCs w:val="21"/>
              </w:rPr>
              <w:t>单元</w:t>
            </w:r>
          </w:p>
        </w:tc>
        <w:tc>
          <w:tcPr>
            <w:tcW w:w="4262"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5"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3158"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安全管理单元</w:t>
            </w:r>
          </w:p>
        </w:tc>
        <w:tc>
          <w:tcPr>
            <w:tcW w:w="4262" w:type="dxa"/>
            <w:noWrap w:val="0"/>
            <w:vAlign w:val="center"/>
          </w:tcPr>
          <w:p>
            <w:pPr>
              <w:widowControl/>
              <w:tabs>
                <w:tab w:val="left" w:pos="735"/>
              </w:tabs>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安全检查表法</w:t>
            </w:r>
          </w:p>
        </w:tc>
      </w:tr>
    </w:tbl>
    <w:p>
      <w:pPr>
        <w:bidi w:val="0"/>
        <w:rPr>
          <w:rFonts w:hint="eastAsia"/>
        </w:rPr>
      </w:pPr>
      <w:bookmarkStart w:id="70" w:name="_Toc28570_WPSOffice_Level1"/>
      <w:bookmarkStart w:id="71" w:name="_Toc18645_WPSOffice_Level1"/>
      <w:bookmarkStart w:id="72" w:name="_Toc27681_WPSOffice_Level1"/>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73" w:name="_Toc89162799"/>
      <w:bookmarkStart w:id="74" w:name="_Toc16878"/>
      <w:r>
        <w:rPr>
          <w:rFonts w:hint="eastAsia" w:ascii="楷体" w:hAnsi="楷体" w:eastAsia="楷体" w:cs="楷体"/>
          <w:b w:val="0"/>
          <w:bCs/>
          <w:kern w:val="2"/>
          <w:sz w:val="32"/>
          <w:szCs w:val="32"/>
          <w:lang w:val="en-US" w:eastAsia="zh-CN"/>
        </w:rPr>
        <w:t>安全评价方法简介</w:t>
      </w:r>
      <w:bookmarkEnd w:id="73"/>
      <w:bookmarkEnd w:id="74"/>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1</w:t>
      </w:r>
      <w:r>
        <w:rPr>
          <w:rFonts w:hint="eastAsia" w:ascii="Times New Roman" w:hAnsi="Times New Roman" w:eastAsia="宋体" w:cs="Times New Roman"/>
          <w:snapToGrid/>
          <w:color w:val="000000"/>
          <w:w w:val="100"/>
          <w:kern w:val="2"/>
          <w:sz w:val="28"/>
          <w:szCs w:val="28"/>
          <w:lang w:eastAsia="zh-CN"/>
        </w:rPr>
        <w:t>）安全检查表法简介</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安全检查表（Safety Check List，简称SCL）是系统安全工程的一种最简便、广泛应用的系统安全性评价方法。安全检查表是由一些对工艺过程、机械设备和作业情况熟悉、经验丰富的安全技术人员和安全管理人员，事先对分析对象进行详细分析和充分讨论，列出检查单元和部位、检查项目、检查要求等内容的表格（清单）。</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对系统进行评价时，对照安全检查表逐项检查，从而评价出系统的安全等级。安全检查表主要用于查找设计、维修、环境、管理等方面缺陷和不安全因素。</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安全检查表需列举所有能导致事故发生的不安全状态和行为，在内容上结合实际、突出重点、简明易行、符合安全要求，因此主要依据以下原则进行编制：</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1）符合有关法律、法规、标准、规范</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安全检查表应以国家、部门、行业颁发的有关安全法律、法规、标准、规范为依据，使检查表的内容科学、合理并符合法规的要求。</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2）参考有关事故案例资料</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收集国内外同类或相关企业有关案例资料，结合评价对象，仔细分析引起事故发生的基本事件和原因，对企业消防事故隐患具有重要意义，这些材料可以做为编制检查表的参考。</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2</w:t>
      </w:r>
      <w:r>
        <w:rPr>
          <w:rFonts w:hint="eastAsia" w:ascii="Times New Roman" w:hAnsi="Times New Roman" w:eastAsia="宋体" w:cs="Times New Roman"/>
          <w:snapToGrid/>
          <w:color w:val="000000"/>
          <w:w w:val="100"/>
          <w:kern w:val="2"/>
          <w:sz w:val="28"/>
          <w:szCs w:val="28"/>
          <w:lang w:eastAsia="zh-CN"/>
        </w:rPr>
        <w:t>）作业条件危险性分析法简介</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对该生产装置中存在的作业频率较高、潜在危险危害性较大的情况采用作业条件危险性分析法(即格雷厄姆——金尼法)进行分析评价。</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L、E、C的分值分别见表。用这三个因素分值的乘积D=L×E×C来评价作业条件的危险性。D值越大，作业条件的危险性越大。</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2 事故发生的可能性分值L</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2"/>
        <w:gridCol w:w="1065"/>
        <w:gridCol w:w="1065"/>
        <w:gridCol w:w="1065"/>
        <w:gridCol w:w="1220"/>
        <w:gridCol w:w="1276"/>
        <w:gridCol w:w="851"/>
        <w:gridCol w:w="1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82"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分数值</w:t>
            </w:r>
          </w:p>
        </w:tc>
        <w:tc>
          <w:tcPr>
            <w:tcW w:w="1065"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c>
          <w:tcPr>
            <w:tcW w:w="1065"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1065"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1220"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1276"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0．5</w:t>
            </w:r>
          </w:p>
        </w:tc>
        <w:tc>
          <w:tcPr>
            <w:tcW w:w="851"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0．2</w:t>
            </w:r>
          </w:p>
        </w:tc>
        <w:tc>
          <w:tcPr>
            <w:tcW w:w="1153"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382"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事故发生的可能性</w:t>
            </w:r>
          </w:p>
        </w:tc>
        <w:tc>
          <w:tcPr>
            <w:tcW w:w="1065"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完全会被预料到</w:t>
            </w:r>
          </w:p>
        </w:tc>
        <w:tc>
          <w:tcPr>
            <w:tcW w:w="1065"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相当可能</w:t>
            </w:r>
          </w:p>
        </w:tc>
        <w:tc>
          <w:tcPr>
            <w:tcW w:w="1065"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可能，但不经常</w:t>
            </w:r>
          </w:p>
        </w:tc>
        <w:tc>
          <w:tcPr>
            <w:tcW w:w="1220"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完全意外，很少可能</w:t>
            </w:r>
          </w:p>
        </w:tc>
        <w:tc>
          <w:tcPr>
            <w:tcW w:w="1276"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可以设想，很少可能</w:t>
            </w:r>
          </w:p>
        </w:tc>
        <w:tc>
          <w:tcPr>
            <w:tcW w:w="851"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极不可能</w:t>
            </w:r>
          </w:p>
        </w:tc>
        <w:tc>
          <w:tcPr>
            <w:tcW w:w="1153" w:type="dxa"/>
            <w:noWrap w:val="0"/>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实际上不可能</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3 暴露于危险环境的频繁程度分值E</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983"/>
        <w:gridCol w:w="1288"/>
        <w:gridCol w:w="1356"/>
        <w:gridCol w:w="1256"/>
        <w:gridCol w:w="1225"/>
        <w:gridCol w:w="1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5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分数值</w:t>
            </w:r>
          </w:p>
        </w:tc>
        <w:tc>
          <w:tcPr>
            <w:tcW w:w="98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10</w:t>
            </w:r>
          </w:p>
        </w:tc>
        <w:tc>
          <w:tcPr>
            <w:tcW w:w="1288"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6</w:t>
            </w:r>
          </w:p>
        </w:tc>
        <w:tc>
          <w:tcPr>
            <w:tcW w:w="135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w:t>
            </w:r>
          </w:p>
        </w:tc>
        <w:tc>
          <w:tcPr>
            <w:tcW w:w="125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w:t>
            </w:r>
          </w:p>
        </w:tc>
        <w:tc>
          <w:tcPr>
            <w:tcW w:w="1225"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p>
        </w:tc>
        <w:tc>
          <w:tcPr>
            <w:tcW w:w="1370"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65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暴露于危险环</w:t>
            </w:r>
          </w:p>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境的频繁程度</w:t>
            </w:r>
          </w:p>
        </w:tc>
        <w:tc>
          <w:tcPr>
            <w:tcW w:w="98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连续</w:t>
            </w:r>
          </w:p>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暴露</w:t>
            </w:r>
          </w:p>
        </w:tc>
        <w:tc>
          <w:tcPr>
            <w:tcW w:w="1288"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每天工作时</w:t>
            </w:r>
          </w:p>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间内暴露</w:t>
            </w:r>
          </w:p>
        </w:tc>
        <w:tc>
          <w:tcPr>
            <w:tcW w:w="135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每周一次或</w:t>
            </w:r>
          </w:p>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偶然暴露</w:t>
            </w:r>
          </w:p>
        </w:tc>
        <w:tc>
          <w:tcPr>
            <w:tcW w:w="125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每月暴</w:t>
            </w:r>
          </w:p>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露一次</w:t>
            </w:r>
          </w:p>
        </w:tc>
        <w:tc>
          <w:tcPr>
            <w:tcW w:w="1225"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每年几</w:t>
            </w:r>
          </w:p>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次暴露</w:t>
            </w:r>
          </w:p>
        </w:tc>
        <w:tc>
          <w:tcPr>
            <w:tcW w:w="1370"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非常罕见地暴露</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4 事故造成的后果分值C</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99"/>
        <w:gridCol w:w="1313"/>
        <w:gridCol w:w="1287"/>
        <w:gridCol w:w="1263"/>
        <w:gridCol w:w="1137"/>
        <w:gridCol w:w="1213"/>
        <w:gridCol w:w="149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399"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分数值</w:t>
            </w:r>
          </w:p>
        </w:tc>
        <w:tc>
          <w:tcPr>
            <w:tcW w:w="131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100</w:t>
            </w:r>
          </w:p>
        </w:tc>
        <w:tc>
          <w:tcPr>
            <w:tcW w:w="1287"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40</w:t>
            </w:r>
          </w:p>
        </w:tc>
        <w:tc>
          <w:tcPr>
            <w:tcW w:w="126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15</w:t>
            </w:r>
          </w:p>
        </w:tc>
        <w:tc>
          <w:tcPr>
            <w:tcW w:w="1137"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7</w:t>
            </w:r>
          </w:p>
        </w:tc>
        <w:tc>
          <w:tcPr>
            <w:tcW w:w="121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w:t>
            </w:r>
          </w:p>
        </w:tc>
        <w:tc>
          <w:tcPr>
            <w:tcW w:w="1491"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5" w:hRule="atLeast"/>
          <w:jc w:val="center"/>
        </w:trPr>
        <w:tc>
          <w:tcPr>
            <w:tcW w:w="1399"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事故造成的后果</w:t>
            </w:r>
          </w:p>
        </w:tc>
        <w:tc>
          <w:tcPr>
            <w:tcW w:w="131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十人以上死亡</w:t>
            </w:r>
          </w:p>
        </w:tc>
        <w:tc>
          <w:tcPr>
            <w:tcW w:w="1287"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数人死亡</w:t>
            </w:r>
          </w:p>
        </w:tc>
        <w:tc>
          <w:tcPr>
            <w:tcW w:w="126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一人死亡</w:t>
            </w:r>
          </w:p>
        </w:tc>
        <w:tc>
          <w:tcPr>
            <w:tcW w:w="1137"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严重伤残</w:t>
            </w:r>
          </w:p>
        </w:tc>
        <w:tc>
          <w:tcPr>
            <w:tcW w:w="1213"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有伤残</w:t>
            </w:r>
          </w:p>
        </w:tc>
        <w:tc>
          <w:tcPr>
            <w:tcW w:w="1491"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轻伤，需救护</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5 危险性等级划分标准</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1675"/>
        <w:gridCol w:w="1537"/>
        <w:gridCol w:w="1438"/>
        <w:gridCol w:w="1375"/>
        <w:gridCol w:w="1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危险性分值D</w:t>
            </w:r>
          </w:p>
        </w:tc>
        <w:tc>
          <w:tcPr>
            <w:tcW w:w="1675"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≥320</w:t>
            </w:r>
          </w:p>
        </w:tc>
        <w:tc>
          <w:tcPr>
            <w:tcW w:w="1537"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≥160～320</w:t>
            </w:r>
          </w:p>
        </w:tc>
        <w:tc>
          <w:tcPr>
            <w:tcW w:w="1438"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≥70～160</w:t>
            </w:r>
          </w:p>
        </w:tc>
        <w:tc>
          <w:tcPr>
            <w:tcW w:w="1375"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≥20～70</w:t>
            </w:r>
          </w:p>
        </w:tc>
        <w:tc>
          <w:tcPr>
            <w:tcW w:w="150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02"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危险程度</w:t>
            </w:r>
          </w:p>
        </w:tc>
        <w:tc>
          <w:tcPr>
            <w:tcW w:w="1675"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极度危险，不能继续作业</w:t>
            </w:r>
          </w:p>
        </w:tc>
        <w:tc>
          <w:tcPr>
            <w:tcW w:w="1537"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高度危险，需要整改</w:t>
            </w:r>
          </w:p>
        </w:tc>
        <w:tc>
          <w:tcPr>
            <w:tcW w:w="1438"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显著危险，需要整改</w:t>
            </w:r>
          </w:p>
        </w:tc>
        <w:tc>
          <w:tcPr>
            <w:tcW w:w="1375"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比较危险，需要注意</w:t>
            </w:r>
          </w:p>
        </w:tc>
        <w:tc>
          <w:tcPr>
            <w:tcW w:w="1506" w:type="dxa"/>
            <w:noWrap w:val="0"/>
            <w:vAlign w:val="center"/>
          </w:tcPr>
          <w:p>
            <w:pPr>
              <w:adjustRightInd w:val="0"/>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稍有危险，可以接受</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560" w:firstLineChars="200"/>
        <w:jc w:val="both"/>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napToGrid/>
          <w:color w:val="000000"/>
          <w:w w:val="100"/>
          <w:kern w:val="2"/>
          <w:sz w:val="28"/>
          <w:szCs w:val="28"/>
          <w:lang w:eastAsia="zh-CN"/>
        </w:rPr>
        <w:t>作业条件危险性分析法</w:t>
      </w:r>
      <w:r>
        <w:rPr>
          <w:rFonts w:hint="eastAsia" w:ascii="Times New Roman" w:hAnsi="Times New Roman" w:eastAsia="宋体" w:cs="Times New Roman"/>
          <w:sz w:val="28"/>
          <w:szCs w:val="28"/>
          <w:lang w:eastAsia="zh-CN"/>
        </w:rPr>
        <w:t>以类比作业条件进行比较为基础，由熟悉类比作业条件的人员按规定标准给L、E、C分别打分，计算出危险性分值（D）来评价作业条件的危险性等级。</w:t>
      </w:r>
    </w:p>
    <w:p>
      <w:pPr>
        <w:pStyle w:val="2"/>
        <w:ind w:left="0" w:leftChars="0" w:firstLine="0" w:firstLineChars="0"/>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75" w:name="_Toc4011"/>
      <w:r>
        <w:rPr>
          <w:rFonts w:hint="eastAsia" w:ascii="Times New Roman" w:hAnsi="Times New Roman" w:eastAsia="黑体" w:cs="Times New Roman"/>
          <w:b w:val="0"/>
          <w:bCs/>
          <w:sz w:val="32"/>
          <w:szCs w:val="32"/>
        </w:rPr>
        <w:t>危险、有害因素分析结果</w:t>
      </w:r>
      <w:bookmarkEnd w:id="70"/>
      <w:bookmarkEnd w:id="71"/>
      <w:bookmarkEnd w:id="72"/>
      <w:bookmarkEnd w:id="75"/>
    </w:p>
    <w:p>
      <w:pPr>
        <w:adjustRightIn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危险因素是指能对人造成伤亡或者对物造成突发性损坏的因素；有害因素是指能影响人的身体健康，导致疾病或者对物造成慢性损坏的因素。</w:t>
      </w:r>
    </w:p>
    <w:p>
      <w:pPr>
        <w:adjustRightIn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危险、有害因素分析是对装置、物料、工艺过程及公用工程中的危险、有害因素，以及能量失控时出现的危险、有害因素的性质、类别、条件及其可能造成的后果进行分析。</w:t>
      </w:r>
    </w:p>
    <w:p>
      <w:pPr>
        <w:adjustRightIn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危险因素分析的目的是对系统中存在的潜在性的危险进行辨识，并根据其危险等级确定防止这些危险事故发生的对策措施。</w:t>
      </w:r>
    </w:p>
    <w:p>
      <w:pPr>
        <w:adjustRightInd w:val="0"/>
        <w:spacing w:line="360" w:lineRule="auto"/>
        <w:ind w:firstLine="560" w:firstLineChars="200"/>
        <w:rPr>
          <w:rFonts w:hint="eastAsia" w:ascii="宋体" w:hAnsi="宋体" w:eastAsia="宋体" w:cs="宋体"/>
          <w:color w:val="auto"/>
          <w:sz w:val="24"/>
        </w:rPr>
      </w:pPr>
      <w:r>
        <w:rPr>
          <w:rFonts w:hint="eastAsia" w:ascii="宋体" w:hAnsi="宋体" w:eastAsia="宋体" w:cs="宋体"/>
          <w:color w:val="auto"/>
          <w:sz w:val="28"/>
          <w:szCs w:val="28"/>
        </w:rPr>
        <w:t>有害因素分析的目的是找出生产活动中对作业人员可能产生的各种有害因素，并评价其等级，从而进一步提出改善劳动条件和加强防护措施的要求。通过贯彻实施，防止产生职业危害，保障作业人员的安全和健康。</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76" w:name="_Toc18902"/>
      <w:bookmarkStart w:id="77" w:name="_Toc23249_WPSOffice_Level2"/>
      <w:bookmarkStart w:id="78" w:name="_Toc532976996"/>
      <w:bookmarkStart w:id="79" w:name="_Toc12326_WPSOffice_Level2"/>
      <w:bookmarkStart w:id="80" w:name="_Toc532976997"/>
      <w:bookmarkStart w:id="81" w:name="_Toc18922_WPSOffice_Level2"/>
      <w:bookmarkStart w:id="82" w:name="_Toc27493_WPSOffice_Level2"/>
      <w:r>
        <w:rPr>
          <w:rFonts w:hint="eastAsia" w:ascii="楷体" w:hAnsi="楷体" w:eastAsia="楷体" w:cs="楷体"/>
          <w:b w:val="0"/>
          <w:bCs/>
          <w:kern w:val="2"/>
          <w:sz w:val="32"/>
          <w:szCs w:val="32"/>
          <w:lang w:val="en-US" w:eastAsia="zh-CN"/>
        </w:rPr>
        <w:t>主要原料、产品的危险有害因素分析结果</w:t>
      </w:r>
      <w:bookmarkEnd w:id="76"/>
      <w:bookmarkEnd w:id="77"/>
      <w:bookmarkEnd w:id="78"/>
      <w:bookmarkEnd w:id="79"/>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1</w:t>
      </w: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rPr>
        <w:t>危险化学品</w:t>
      </w:r>
      <w:r>
        <w:rPr>
          <w:rFonts w:hint="eastAsia" w:ascii="Times New Roman" w:hAnsi="Times New Roman" w:eastAsia="宋体" w:cs="Times New Roman"/>
          <w:snapToGrid/>
          <w:color w:val="000000"/>
          <w:w w:val="100"/>
          <w:kern w:val="2"/>
          <w:sz w:val="28"/>
          <w:szCs w:val="28"/>
          <w:lang w:eastAsia="zh-CN"/>
        </w:rPr>
        <w:t>辨识</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rPr>
        <w:t>依据</w:t>
      </w:r>
      <w:r>
        <w:rPr>
          <w:rFonts w:hint="eastAsia" w:ascii="Times New Roman" w:hAnsi="Times New Roman" w:eastAsia="宋体" w:cs="Times New Roman"/>
          <w:snapToGrid/>
          <w:spacing w:val="0"/>
          <w:w w:val="100"/>
          <w:kern w:val="2"/>
          <w:sz w:val="28"/>
          <w:szCs w:val="28"/>
          <w:lang w:val="en-US" w:eastAsia="zh-CN"/>
        </w:rPr>
        <w:t>《危险化学品目录（2015版）》（国家安全生产监督管理总局等10部门公告2015年第5号，应急管理部等十部门公告2022年第8号修改）</w:t>
      </w:r>
      <w:r>
        <w:rPr>
          <w:rFonts w:hint="eastAsia" w:ascii="Times New Roman" w:hAnsi="Times New Roman" w:eastAsia="宋体" w:cs="Times New Roman"/>
          <w:snapToGrid/>
          <w:color w:val="000000"/>
          <w:w w:val="100"/>
          <w:kern w:val="2"/>
          <w:sz w:val="28"/>
          <w:szCs w:val="28"/>
        </w:rPr>
        <w:t>，</w:t>
      </w:r>
      <w:r>
        <w:rPr>
          <w:rFonts w:hint="eastAsia" w:cs="Times New Roman"/>
          <w:snapToGrid/>
          <w:color w:val="000000"/>
          <w:w w:val="100"/>
          <w:kern w:val="2"/>
          <w:sz w:val="28"/>
          <w:szCs w:val="28"/>
          <w:lang w:eastAsia="zh-CN"/>
        </w:rPr>
        <w:t>该企业</w:t>
      </w:r>
      <w:r>
        <w:rPr>
          <w:rFonts w:hint="eastAsia" w:ascii="Times New Roman" w:hAnsi="Times New Roman" w:eastAsia="宋体" w:cs="Times New Roman"/>
          <w:snapToGrid/>
          <w:color w:val="000000"/>
          <w:w w:val="100"/>
          <w:kern w:val="2"/>
          <w:sz w:val="28"/>
          <w:szCs w:val="28"/>
          <w:lang w:eastAsia="zh-CN"/>
        </w:rPr>
        <w:t>原辅料及产品中涉及</w:t>
      </w:r>
      <w:r>
        <w:rPr>
          <w:rFonts w:hint="eastAsia" w:ascii="Times New Roman" w:hAnsi="Times New Roman" w:eastAsia="宋体" w:cs="Times New Roman"/>
          <w:snapToGrid/>
          <w:color w:val="000000"/>
          <w:w w:val="100"/>
          <w:kern w:val="2"/>
          <w:sz w:val="28"/>
          <w:szCs w:val="28"/>
          <w:lang w:val="en-US" w:eastAsia="zh-CN"/>
        </w:rPr>
        <w:t>的</w:t>
      </w:r>
      <w:r>
        <w:rPr>
          <w:rFonts w:hint="eastAsia" w:ascii="Times New Roman" w:hAnsi="Times New Roman" w:eastAsia="宋体" w:cs="Times New Roman"/>
          <w:snapToGrid/>
          <w:color w:val="000000"/>
          <w:w w:val="100"/>
          <w:kern w:val="2"/>
          <w:sz w:val="28"/>
          <w:szCs w:val="28"/>
        </w:rPr>
        <w:t>危险化学品</w:t>
      </w:r>
      <w:r>
        <w:rPr>
          <w:rFonts w:hint="eastAsia" w:ascii="Times New Roman" w:hAnsi="Times New Roman" w:eastAsia="宋体" w:cs="Times New Roman"/>
          <w:snapToGrid/>
          <w:color w:val="000000"/>
          <w:w w:val="100"/>
          <w:kern w:val="2"/>
          <w:sz w:val="28"/>
          <w:szCs w:val="28"/>
          <w:lang w:eastAsia="zh-CN"/>
        </w:rPr>
        <w:t>包括：</w:t>
      </w:r>
      <w:r>
        <w:rPr>
          <w:rFonts w:hint="default" w:ascii="Times New Roman" w:hAnsi="Times New Roman" w:eastAsia="宋体" w:cs="Times New Roman"/>
          <w:snapToGrid/>
          <w:color w:val="000000"/>
          <w:w w:val="100"/>
          <w:kern w:val="2"/>
          <w:sz w:val="28"/>
          <w:szCs w:val="28"/>
        </w:rPr>
        <w:t>硫酸</w:t>
      </w: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rPr>
        <w:t>糠醛</w:t>
      </w:r>
      <w:r>
        <w:rPr>
          <w:rFonts w:hint="eastAsia" w:cs="Times New Roman"/>
          <w:snapToGrid/>
          <w:color w:val="FF0000"/>
          <w:w w:val="100"/>
          <w:kern w:val="2"/>
          <w:sz w:val="28"/>
          <w:szCs w:val="28"/>
          <w:lang w:val="en-US" w:eastAsia="zh-CN"/>
        </w:rPr>
        <w:t>以</w:t>
      </w:r>
      <w:r>
        <w:rPr>
          <w:rFonts w:hint="eastAsia" w:ascii="Times New Roman" w:hAnsi="Times New Roman" w:eastAsia="宋体" w:cs="Times New Roman"/>
          <w:snapToGrid/>
          <w:color w:val="FF0000"/>
          <w:w w:val="100"/>
          <w:kern w:val="2"/>
          <w:sz w:val="28"/>
          <w:szCs w:val="28"/>
          <w:lang w:val="en-US" w:eastAsia="zh-CN"/>
        </w:rPr>
        <w:t>及</w:t>
      </w:r>
      <w:r>
        <w:rPr>
          <w:rFonts w:hint="eastAsia" w:cs="Times New Roman"/>
          <w:snapToGrid/>
          <w:color w:val="FF0000"/>
          <w:w w:val="100"/>
          <w:kern w:val="2"/>
          <w:sz w:val="28"/>
          <w:szCs w:val="28"/>
          <w:lang w:val="en-US" w:eastAsia="zh-CN"/>
        </w:rPr>
        <w:t>柴油发电机的燃料</w:t>
      </w:r>
      <w:r>
        <w:rPr>
          <w:rFonts w:hint="eastAsia" w:ascii="Times New Roman" w:hAnsi="Times New Roman" w:eastAsia="宋体" w:cs="Times New Roman"/>
          <w:snapToGrid/>
          <w:color w:val="FF0000"/>
          <w:w w:val="100"/>
          <w:kern w:val="2"/>
          <w:sz w:val="28"/>
          <w:szCs w:val="28"/>
          <w:lang w:eastAsia="zh-CN"/>
        </w:rPr>
        <w:t>柴油</w:t>
      </w:r>
      <w:r>
        <w:rPr>
          <w:rFonts w:hint="eastAsia" w:ascii="Times New Roman" w:hAnsi="Times New Roman" w:eastAsia="宋体" w:cs="Times New Roman"/>
          <w:snapToGrid/>
          <w:color w:val="000000"/>
          <w:w w:val="100"/>
          <w:kern w:val="2"/>
          <w:sz w:val="28"/>
          <w:szCs w:val="28"/>
          <w:lang w:eastAsia="zh-CN"/>
        </w:rPr>
        <w:t>。</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rPr>
      </w:pPr>
      <w:r>
        <w:rPr>
          <w:rFonts w:hint="eastAsia" w:ascii="Times New Roman" w:hAnsi="Times New Roman" w:eastAsia="宋体" w:cs="Times New Roman"/>
          <w:snapToGrid/>
          <w:color w:val="000000"/>
          <w:w w:val="100"/>
          <w:kern w:val="2"/>
          <w:sz w:val="28"/>
          <w:szCs w:val="28"/>
        </w:rPr>
        <w:t>危险化学品</w:t>
      </w:r>
      <w:r>
        <w:rPr>
          <w:rFonts w:hint="eastAsia" w:ascii="Times New Roman" w:hAnsi="Times New Roman" w:eastAsia="宋体" w:cs="Times New Roman"/>
          <w:snapToGrid/>
          <w:color w:val="000000"/>
          <w:w w:val="100"/>
          <w:kern w:val="2"/>
          <w:sz w:val="28"/>
          <w:szCs w:val="28"/>
          <w:lang w:eastAsia="zh-CN"/>
        </w:rPr>
        <w:t>的</w:t>
      </w:r>
      <w:r>
        <w:rPr>
          <w:rFonts w:hint="eastAsia" w:ascii="Times New Roman" w:hAnsi="Times New Roman" w:eastAsia="宋体" w:cs="Times New Roman"/>
          <w:snapToGrid/>
          <w:color w:val="000000"/>
          <w:w w:val="100"/>
          <w:kern w:val="2"/>
          <w:sz w:val="28"/>
          <w:szCs w:val="28"/>
          <w:lang w:val="en-US" w:eastAsia="zh-CN"/>
        </w:rPr>
        <w:t>理化性质及</w:t>
      </w:r>
      <w:r>
        <w:rPr>
          <w:rFonts w:hint="eastAsia" w:ascii="Times New Roman" w:hAnsi="Times New Roman" w:eastAsia="宋体" w:cs="Times New Roman"/>
          <w:snapToGrid/>
          <w:color w:val="000000"/>
          <w:w w:val="100"/>
          <w:kern w:val="2"/>
          <w:sz w:val="28"/>
          <w:szCs w:val="28"/>
        </w:rPr>
        <w:t>危险有害因素分析结果具体见表4</w:t>
      </w:r>
      <w:r>
        <w:rPr>
          <w:rFonts w:hint="eastAsia" w:ascii="Times New Roman" w:hAnsi="Times New Roman" w:eastAsia="宋体" w:cs="Times New Roman"/>
          <w:snapToGrid/>
          <w:color w:val="000000"/>
          <w:w w:val="100"/>
          <w:kern w:val="2"/>
          <w:sz w:val="28"/>
          <w:szCs w:val="28"/>
          <w:lang w:val="en-US" w:eastAsia="zh-CN"/>
        </w:rPr>
        <w:t>.</w:t>
      </w:r>
      <w:r>
        <w:rPr>
          <w:rFonts w:hint="eastAsia" w:ascii="Times New Roman" w:hAnsi="Times New Roman" w:eastAsia="宋体" w:cs="Times New Roman"/>
          <w:snapToGrid/>
          <w:color w:val="000000"/>
          <w:w w:val="100"/>
          <w:kern w:val="2"/>
          <w:sz w:val="28"/>
          <w:szCs w:val="28"/>
        </w:rPr>
        <w:t>1。</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2</w:t>
      </w: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rPr>
        <w:t>剧毒化学品</w:t>
      </w:r>
      <w:r>
        <w:rPr>
          <w:rFonts w:hint="eastAsia" w:ascii="Times New Roman" w:hAnsi="Times New Roman" w:eastAsia="宋体" w:cs="Times New Roman"/>
          <w:snapToGrid/>
          <w:color w:val="000000"/>
          <w:w w:val="100"/>
          <w:kern w:val="2"/>
          <w:sz w:val="28"/>
          <w:szCs w:val="28"/>
          <w:lang w:eastAsia="zh-CN"/>
        </w:rPr>
        <w:t>、高毒</w:t>
      </w:r>
      <w:r>
        <w:rPr>
          <w:rFonts w:hint="eastAsia" w:cs="Times New Roman"/>
          <w:snapToGrid/>
          <w:color w:val="000000"/>
          <w:w w:val="100"/>
          <w:kern w:val="2"/>
          <w:sz w:val="28"/>
          <w:szCs w:val="28"/>
          <w:lang w:eastAsia="zh-CN"/>
        </w:rPr>
        <w:t>物</w:t>
      </w:r>
      <w:r>
        <w:rPr>
          <w:rFonts w:hint="eastAsia" w:ascii="Times New Roman" w:hAnsi="Times New Roman" w:eastAsia="宋体" w:cs="Times New Roman"/>
          <w:snapToGrid/>
          <w:color w:val="000000"/>
          <w:w w:val="100"/>
          <w:kern w:val="2"/>
          <w:sz w:val="28"/>
          <w:szCs w:val="28"/>
        </w:rPr>
        <w:t>品</w:t>
      </w:r>
      <w:r>
        <w:rPr>
          <w:rFonts w:hint="eastAsia" w:ascii="Times New Roman" w:hAnsi="Times New Roman" w:eastAsia="宋体" w:cs="Times New Roman"/>
          <w:snapToGrid/>
          <w:color w:val="000000"/>
          <w:w w:val="100"/>
          <w:kern w:val="2"/>
          <w:sz w:val="28"/>
          <w:szCs w:val="28"/>
          <w:lang w:eastAsia="zh-CN"/>
        </w:rPr>
        <w:t>辨识</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rPr>
      </w:pPr>
      <w:r>
        <w:rPr>
          <w:rFonts w:hint="eastAsia" w:ascii="Times New Roman" w:hAnsi="Times New Roman" w:eastAsia="宋体" w:cs="Times New Roman"/>
          <w:snapToGrid/>
          <w:color w:val="000000"/>
          <w:w w:val="100"/>
          <w:kern w:val="2"/>
          <w:sz w:val="28"/>
          <w:szCs w:val="28"/>
        </w:rPr>
        <w:t>根据</w:t>
      </w:r>
      <w:r>
        <w:rPr>
          <w:rFonts w:hint="eastAsia" w:ascii="Times New Roman" w:hAnsi="Times New Roman" w:eastAsia="宋体" w:cs="Times New Roman"/>
          <w:snapToGrid/>
          <w:spacing w:val="0"/>
          <w:w w:val="100"/>
          <w:kern w:val="2"/>
          <w:sz w:val="28"/>
          <w:szCs w:val="28"/>
          <w:lang w:val="en-US" w:eastAsia="zh-CN"/>
        </w:rPr>
        <w:t>《危险化学品目录（2015版）》（国家安全生产监督管理总局等10部门公告2015年第5号，应急管理部等十部门公告2022年第8号修改）</w:t>
      </w:r>
      <w:r>
        <w:rPr>
          <w:rFonts w:hint="eastAsia" w:ascii="Times New Roman" w:hAnsi="Times New Roman" w:eastAsia="宋体" w:cs="Times New Roman"/>
          <w:snapToGrid/>
          <w:color w:val="000000"/>
          <w:w w:val="100"/>
          <w:kern w:val="2"/>
          <w:sz w:val="28"/>
          <w:szCs w:val="28"/>
        </w:rPr>
        <w:t>，</w:t>
      </w:r>
      <w:r>
        <w:rPr>
          <w:rFonts w:hint="eastAsia" w:cs="Times New Roman"/>
          <w:snapToGrid/>
          <w:color w:val="000000"/>
          <w:w w:val="100"/>
          <w:kern w:val="2"/>
          <w:sz w:val="28"/>
          <w:szCs w:val="28"/>
          <w:lang w:eastAsia="zh-CN"/>
        </w:rPr>
        <w:t>该企业</w:t>
      </w:r>
      <w:r>
        <w:rPr>
          <w:rFonts w:hint="eastAsia" w:ascii="Times New Roman" w:hAnsi="Times New Roman" w:eastAsia="宋体" w:cs="Times New Roman"/>
          <w:snapToGrid/>
          <w:color w:val="000000"/>
          <w:w w:val="100"/>
          <w:kern w:val="2"/>
          <w:sz w:val="28"/>
          <w:szCs w:val="28"/>
          <w:lang w:eastAsia="zh-CN"/>
        </w:rPr>
        <w:t>生</w:t>
      </w:r>
      <w:r>
        <w:rPr>
          <w:rFonts w:hint="eastAsia" w:ascii="Times New Roman" w:hAnsi="Times New Roman" w:eastAsia="宋体" w:cs="Times New Roman"/>
          <w:snapToGrid/>
          <w:color w:val="000000"/>
          <w:w w:val="100"/>
          <w:kern w:val="2"/>
          <w:sz w:val="28"/>
          <w:szCs w:val="28"/>
        </w:rPr>
        <w:t>产</w:t>
      </w:r>
      <w:r>
        <w:rPr>
          <w:rFonts w:hint="eastAsia" w:ascii="Times New Roman" w:hAnsi="Times New Roman" w:eastAsia="宋体" w:cs="Times New Roman"/>
          <w:snapToGrid/>
          <w:color w:val="000000"/>
          <w:w w:val="100"/>
          <w:kern w:val="2"/>
          <w:sz w:val="28"/>
          <w:szCs w:val="28"/>
          <w:lang w:eastAsia="zh-CN"/>
        </w:rPr>
        <w:t>过程中不</w:t>
      </w:r>
      <w:r>
        <w:rPr>
          <w:rFonts w:hint="eastAsia" w:ascii="Times New Roman" w:hAnsi="Times New Roman" w:eastAsia="宋体" w:cs="Times New Roman"/>
          <w:snapToGrid/>
          <w:color w:val="000000"/>
          <w:w w:val="100"/>
          <w:kern w:val="2"/>
          <w:sz w:val="28"/>
          <w:szCs w:val="28"/>
        </w:rPr>
        <w:t>涉及剧毒化学品。</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eastAsia="zh-CN"/>
        </w:rPr>
        <w:t>根据《高毒物品目录》（卫法监发[2003]第142号）</w:t>
      </w:r>
      <w:r>
        <w:rPr>
          <w:rFonts w:hint="eastAsia" w:ascii="Times New Roman" w:hAnsi="Times New Roman" w:eastAsia="宋体" w:cs="Times New Roman"/>
          <w:snapToGrid/>
          <w:color w:val="000000"/>
          <w:w w:val="100"/>
          <w:kern w:val="2"/>
          <w:sz w:val="28"/>
          <w:szCs w:val="28"/>
          <w:lang w:val="en-US" w:eastAsia="zh-CN"/>
        </w:rPr>
        <w:t>，</w:t>
      </w: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生产过程中不涉及高毒</w:t>
      </w:r>
      <w:r>
        <w:rPr>
          <w:rFonts w:hint="eastAsia" w:cs="Times New Roman"/>
          <w:snapToGrid/>
          <w:color w:val="000000"/>
          <w:w w:val="100"/>
          <w:kern w:val="2"/>
          <w:sz w:val="28"/>
          <w:szCs w:val="28"/>
          <w:lang w:val="en-US" w:eastAsia="zh-CN"/>
        </w:rPr>
        <w:t>物</w:t>
      </w:r>
      <w:r>
        <w:rPr>
          <w:rFonts w:hint="eastAsia" w:ascii="Times New Roman" w:hAnsi="Times New Roman" w:eastAsia="宋体" w:cs="Times New Roman"/>
          <w:snapToGrid/>
          <w:color w:val="000000"/>
          <w:w w:val="100"/>
          <w:kern w:val="2"/>
          <w:sz w:val="28"/>
          <w:szCs w:val="28"/>
          <w:lang w:val="en-US" w:eastAsia="zh-CN"/>
        </w:rPr>
        <w:t>品。</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eastAsia="zh-CN"/>
        </w:rPr>
      </w:pP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3</w:t>
      </w: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rPr>
        <w:t>易制毒化学品</w:t>
      </w: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rPr>
        <w:t>易制爆危险化学品</w:t>
      </w:r>
      <w:r>
        <w:rPr>
          <w:rFonts w:hint="eastAsia" w:ascii="Times New Roman" w:hAnsi="Times New Roman" w:eastAsia="宋体" w:cs="Times New Roman"/>
          <w:snapToGrid/>
          <w:color w:val="000000"/>
          <w:w w:val="100"/>
          <w:kern w:val="2"/>
          <w:sz w:val="28"/>
          <w:szCs w:val="28"/>
          <w:lang w:eastAsia="zh-CN"/>
        </w:rPr>
        <w:t>辨识</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rPr>
      </w:pPr>
      <w:r>
        <w:rPr>
          <w:rFonts w:hint="eastAsia" w:ascii="Times New Roman" w:hAnsi="Times New Roman" w:eastAsia="宋体" w:cs="Times New Roman"/>
          <w:snapToGrid/>
          <w:color w:val="000000"/>
          <w:w w:val="100"/>
          <w:kern w:val="2"/>
          <w:sz w:val="28"/>
          <w:szCs w:val="28"/>
        </w:rPr>
        <w:t>根据</w:t>
      </w:r>
      <w:r>
        <w:rPr>
          <w:rFonts w:hint="eastAsia" w:ascii="Times New Roman" w:hAnsi="Times New Roman" w:eastAsia="宋体" w:cs="Times New Roman"/>
          <w:snapToGrid/>
          <w:spacing w:val="0"/>
          <w:w w:val="100"/>
          <w:kern w:val="2"/>
          <w:sz w:val="28"/>
          <w:szCs w:val="28"/>
          <w:lang w:val="en-US" w:eastAsia="zh-CN"/>
        </w:rPr>
        <w:t>《易制毒化学品管理条例》（中华人民共和国国务院令[2018]第703号修订）</w:t>
      </w:r>
      <w:r>
        <w:rPr>
          <w:rFonts w:hint="eastAsia" w:ascii="Times New Roman" w:hAnsi="Times New Roman" w:eastAsia="宋体" w:cs="Times New Roman"/>
          <w:snapToGrid/>
          <w:color w:val="000000"/>
          <w:w w:val="100"/>
          <w:kern w:val="2"/>
          <w:sz w:val="28"/>
          <w:szCs w:val="28"/>
        </w:rPr>
        <w:t>，</w:t>
      </w:r>
      <w:r>
        <w:rPr>
          <w:rFonts w:hint="eastAsia" w:cs="Times New Roman"/>
          <w:snapToGrid/>
          <w:color w:val="000000"/>
          <w:w w:val="100"/>
          <w:kern w:val="2"/>
          <w:sz w:val="28"/>
          <w:szCs w:val="28"/>
          <w:lang w:eastAsia="zh-CN"/>
        </w:rPr>
        <w:t>该企业</w:t>
      </w:r>
      <w:r>
        <w:rPr>
          <w:rFonts w:hint="eastAsia" w:ascii="Times New Roman" w:hAnsi="Times New Roman" w:eastAsia="宋体" w:cs="Times New Roman"/>
          <w:snapToGrid/>
          <w:color w:val="000000"/>
          <w:w w:val="100"/>
          <w:kern w:val="2"/>
          <w:sz w:val="28"/>
          <w:szCs w:val="28"/>
          <w:lang w:val="en-US" w:eastAsia="zh-CN"/>
        </w:rPr>
        <w:t>生产过程中</w:t>
      </w:r>
      <w:r>
        <w:rPr>
          <w:rFonts w:hint="eastAsia" w:ascii="Times New Roman" w:hAnsi="Times New Roman" w:eastAsia="宋体" w:cs="Times New Roman"/>
          <w:snapToGrid/>
          <w:color w:val="000000"/>
          <w:w w:val="100"/>
          <w:kern w:val="2"/>
          <w:sz w:val="28"/>
          <w:szCs w:val="28"/>
          <w:lang w:eastAsia="zh-CN"/>
        </w:rPr>
        <w:t>涉及</w:t>
      </w:r>
      <w:r>
        <w:rPr>
          <w:rFonts w:hint="eastAsia" w:ascii="Times New Roman" w:hAnsi="Times New Roman" w:eastAsia="宋体" w:cs="Times New Roman"/>
          <w:snapToGrid/>
          <w:color w:val="000000"/>
          <w:w w:val="100"/>
          <w:kern w:val="2"/>
          <w:sz w:val="28"/>
          <w:szCs w:val="28"/>
          <w:lang w:val="en-US" w:eastAsia="zh-CN"/>
        </w:rPr>
        <w:t>的硫酸</w:t>
      </w:r>
      <w:r>
        <w:rPr>
          <w:rFonts w:hint="eastAsia" w:ascii="宋体" w:hAnsi="宋体" w:cs="宋体"/>
          <w:sz w:val="28"/>
          <w:szCs w:val="28"/>
        </w:rPr>
        <w:t>属于第三类易制毒化学品</w:t>
      </w:r>
      <w:r>
        <w:rPr>
          <w:rFonts w:hint="eastAsia" w:ascii="Times New Roman" w:hAnsi="Times New Roman" w:eastAsia="宋体" w:cs="Times New Roman"/>
          <w:snapToGrid/>
          <w:color w:val="000000"/>
          <w:w w:val="100"/>
          <w:kern w:val="2"/>
          <w:sz w:val="28"/>
          <w:szCs w:val="28"/>
        </w:rPr>
        <w:t>。</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rPr>
      </w:pPr>
      <w:r>
        <w:rPr>
          <w:rFonts w:hint="eastAsia" w:ascii="Times New Roman" w:hAnsi="Times New Roman" w:eastAsia="宋体" w:cs="Times New Roman"/>
          <w:snapToGrid/>
          <w:color w:val="000000"/>
          <w:w w:val="100"/>
          <w:kern w:val="2"/>
          <w:sz w:val="28"/>
          <w:szCs w:val="28"/>
        </w:rPr>
        <w:t>根据《易制爆危险化学品名录（2017年版）》（中华人民共和国公安部公告，2017年6月1日），</w:t>
      </w:r>
      <w:r>
        <w:rPr>
          <w:rFonts w:hint="eastAsia" w:cs="Times New Roman"/>
          <w:snapToGrid/>
          <w:color w:val="000000"/>
          <w:w w:val="100"/>
          <w:kern w:val="2"/>
          <w:sz w:val="28"/>
          <w:szCs w:val="28"/>
          <w:lang w:eastAsia="zh-CN"/>
        </w:rPr>
        <w:t>该企业</w:t>
      </w:r>
      <w:r>
        <w:rPr>
          <w:rFonts w:hint="eastAsia" w:ascii="Times New Roman" w:hAnsi="Times New Roman" w:eastAsia="宋体" w:cs="Times New Roman"/>
          <w:snapToGrid/>
          <w:color w:val="000000"/>
          <w:w w:val="100"/>
          <w:kern w:val="2"/>
          <w:sz w:val="28"/>
          <w:szCs w:val="28"/>
        </w:rPr>
        <w:t>生产过程中</w:t>
      </w:r>
      <w:r>
        <w:rPr>
          <w:rFonts w:hint="eastAsia" w:ascii="Times New Roman" w:hAnsi="Times New Roman" w:eastAsia="宋体" w:cs="Times New Roman"/>
          <w:snapToGrid/>
          <w:color w:val="000000"/>
          <w:w w:val="100"/>
          <w:kern w:val="2"/>
          <w:sz w:val="28"/>
          <w:szCs w:val="28"/>
          <w:lang w:val="en-US" w:eastAsia="zh-CN"/>
        </w:rPr>
        <w:t>不</w:t>
      </w:r>
      <w:r>
        <w:rPr>
          <w:rFonts w:hint="eastAsia" w:ascii="Times New Roman" w:hAnsi="Times New Roman" w:eastAsia="宋体" w:cs="Times New Roman"/>
          <w:snapToGrid/>
          <w:color w:val="000000"/>
          <w:w w:val="100"/>
          <w:kern w:val="2"/>
          <w:sz w:val="28"/>
          <w:szCs w:val="28"/>
          <w:lang w:eastAsia="zh-CN"/>
        </w:rPr>
        <w:t>涉及</w:t>
      </w:r>
      <w:r>
        <w:rPr>
          <w:rFonts w:hint="eastAsia" w:ascii="Times New Roman" w:hAnsi="Times New Roman" w:eastAsia="宋体" w:cs="Times New Roman"/>
          <w:snapToGrid/>
          <w:color w:val="000000"/>
          <w:w w:val="100"/>
          <w:kern w:val="2"/>
          <w:sz w:val="28"/>
          <w:szCs w:val="28"/>
        </w:rPr>
        <w:t>易制爆危险化学品。</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4</w:t>
      </w:r>
      <w:r>
        <w:rPr>
          <w:rFonts w:hint="eastAsia" w:ascii="Times New Roman" w:hAnsi="Times New Roman" w:eastAsia="宋体" w:cs="Times New Roman"/>
          <w:snapToGrid/>
          <w:color w:val="000000"/>
          <w:w w:val="100"/>
          <w:kern w:val="2"/>
          <w:sz w:val="28"/>
          <w:szCs w:val="28"/>
          <w:lang w:eastAsia="zh-CN"/>
        </w:rPr>
        <w:t>）</w:t>
      </w:r>
      <w:r>
        <w:rPr>
          <w:rFonts w:hint="eastAsia" w:ascii="Times New Roman" w:hAnsi="Times New Roman" w:eastAsia="宋体" w:cs="Times New Roman"/>
          <w:snapToGrid/>
          <w:color w:val="000000"/>
          <w:w w:val="100"/>
          <w:kern w:val="2"/>
          <w:sz w:val="28"/>
          <w:szCs w:val="28"/>
          <w:lang w:val="en-US" w:eastAsia="zh-CN"/>
        </w:rPr>
        <w:t>特别管控危险化学品、</w:t>
      </w:r>
      <w:r>
        <w:rPr>
          <w:rFonts w:hint="eastAsia" w:ascii="Times New Roman" w:hAnsi="Times New Roman" w:eastAsia="宋体" w:cs="Times New Roman"/>
          <w:snapToGrid/>
          <w:color w:val="000000"/>
          <w:w w:val="100"/>
          <w:kern w:val="2"/>
          <w:sz w:val="28"/>
          <w:szCs w:val="28"/>
        </w:rPr>
        <w:t>监控化学品</w:t>
      </w:r>
      <w:r>
        <w:rPr>
          <w:rFonts w:hint="eastAsia" w:ascii="Times New Roman" w:hAnsi="Times New Roman" w:eastAsia="宋体" w:cs="Times New Roman"/>
          <w:snapToGrid/>
          <w:color w:val="000000"/>
          <w:w w:val="100"/>
          <w:kern w:val="2"/>
          <w:sz w:val="28"/>
          <w:szCs w:val="28"/>
          <w:lang w:eastAsia="zh-CN"/>
        </w:rPr>
        <w:t>辨识</w:t>
      </w:r>
    </w:p>
    <w:p>
      <w:pPr>
        <w:spacing w:line="360" w:lineRule="auto"/>
        <w:ind w:firstLine="560" w:firstLineChars="200"/>
        <w:jc w:val="left"/>
        <w:rPr>
          <w:rFonts w:hint="default"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根据《特别管控危险化学名录（第一版）》，</w:t>
      </w: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生产过程中不</w:t>
      </w:r>
      <w:r>
        <w:rPr>
          <w:rFonts w:hint="eastAsia" w:ascii="Times New Roman" w:hAnsi="Times New Roman" w:eastAsia="宋体" w:cs="Times New Roman"/>
          <w:snapToGrid/>
          <w:color w:val="000000"/>
          <w:w w:val="100"/>
          <w:kern w:val="2"/>
          <w:sz w:val="28"/>
          <w:szCs w:val="28"/>
          <w:lang w:eastAsia="zh-CN"/>
        </w:rPr>
        <w:t>涉及</w:t>
      </w:r>
      <w:r>
        <w:rPr>
          <w:rFonts w:hint="eastAsia" w:ascii="Times New Roman" w:hAnsi="Times New Roman" w:eastAsia="宋体" w:cs="Times New Roman"/>
          <w:snapToGrid/>
          <w:color w:val="000000"/>
          <w:w w:val="100"/>
          <w:kern w:val="2"/>
          <w:sz w:val="28"/>
          <w:szCs w:val="28"/>
          <w:lang w:val="en-US" w:eastAsia="zh-CN"/>
        </w:rPr>
        <w:t>特别管控危险化学品。</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rPr>
      </w:pPr>
      <w:r>
        <w:rPr>
          <w:rFonts w:hint="eastAsia" w:ascii="Times New Roman" w:hAnsi="Times New Roman" w:eastAsia="宋体" w:cs="Times New Roman"/>
          <w:snapToGrid/>
          <w:color w:val="000000"/>
          <w:w w:val="100"/>
          <w:kern w:val="2"/>
          <w:sz w:val="28"/>
          <w:szCs w:val="28"/>
        </w:rPr>
        <w:t>根据《各类监控化学品名录》（中华人民共和国工业和信息化部令[2020]第52号），</w:t>
      </w: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生产过程中</w:t>
      </w:r>
      <w:r>
        <w:rPr>
          <w:rFonts w:hint="eastAsia" w:ascii="Times New Roman" w:hAnsi="Times New Roman" w:eastAsia="宋体" w:cs="Times New Roman"/>
          <w:snapToGrid/>
          <w:color w:val="000000"/>
          <w:w w:val="100"/>
          <w:kern w:val="2"/>
          <w:sz w:val="28"/>
          <w:szCs w:val="28"/>
        </w:rPr>
        <w:t>不涉及监控化学品。</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表4</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1 生产储存过程涉及的危险化学品一览表</w:t>
      </w:r>
      <w:bookmarkStart w:id="83" w:name="_Toc27555_WPSOffice_Level2"/>
      <w:bookmarkStart w:id="84" w:name="_Toc21945_WPSOffice_Level2"/>
      <w:bookmarkStart w:id="85" w:name="_Toc532976995"/>
    </w:p>
    <w:tbl>
      <w:tblPr>
        <w:tblStyle w:val="37"/>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088"/>
        <w:gridCol w:w="856"/>
        <w:gridCol w:w="1144"/>
        <w:gridCol w:w="800"/>
        <w:gridCol w:w="761"/>
        <w:gridCol w:w="787"/>
        <w:gridCol w:w="2560"/>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1" w:type="dxa"/>
            <w:noWrap w:val="0"/>
            <w:vAlign w:val="center"/>
          </w:tcPr>
          <w:p>
            <w:pPr>
              <w:tabs>
                <w:tab w:val="left" w:pos="434"/>
              </w:tabs>
              <w:spacing w:line="240" w:lineRule="auto"/>
              <w:ind w:left="14"/>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kern w:val="0"/>
                <w:sz w:val="21"/>
                <w:szCs w:val="21"/>
              </w:rPr>
              <w:t>序号</w:t>
            </w:r>
          </w:p>
        </w:tc>
        <w:tc>
          <w:tcPr>
            <w:tcW w:w="1088"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物质名称</w:t>
            </w:r>
          </w:p>
        </w:tc>
        <w:tc>
          <w:tcPr>
            <w:tcW w:w="856"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危化品序号</w:t>
            </w:r>
          </w:p>
        </w:tc>
        <w:tc>
          <w:tcPr>
            <w:tcW w:w="1144"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CAS号</w:t>
            </w:r>
          </w:p>
        </w:tc>
        <w:tc>
          <w:tcPr>
            <w:tcW w:w="800"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沸点（℃）</w:t>
            </w:r>
          </w:p>
        </w:tc>
        <w:tc>
          <w:tcPr>
            <w:tcW w:w="761"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闪点（℃）</w:t>
            </w:r>
          </w:p>
        </w:tc>
        <w:tc>
          <w:tcPr>
            <w:tcW w:w="787"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爆炸极限（%）</w:t>
            </w:r>
          </w:p>
        </w:tc>
        <w:tc>
          <w:tcPr>
            <w:tcW w:w="2560"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危险性类别</w:t>
            </w:r>
          </w:p>
        </w:tc>
        <w:tc>
          <w:tcPr>
            <w:tcW w:w="897"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火灾危险性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1" w:type="dxa"/>
            <w:noWrap w:val="0"/>
            <w:vAlign w:val="center"/>
          </w:tcPr>
          <w:p>
            <w:pPr>
              <w:numPr>
                <w:ilvl w:val="0"/>
                <w:numId w:val="9"/>
              </w:numPr>
              <w:spacing w:line="240" w:lineRule="auto"/>
              <w:ind w:left="434" w:leftChars="0" w:hanging="361" w:firstLineChars="0"/>
              <w:jc w:val="center"/>
              <w:rPr>
                <w:rFonts w:hint="default" w:ascii="Times New Roman" w:hAnsi="Times New Roman" w:eastAsia="宋体" w:cs="Times New Roman"/>
                <w:sz w:val="21"/>
                <w:szCs w:val="21"/>
              </w:rPr>
            </w:pPr>
          </w:p>
        </w:tc>
        <w:tc>
          <w:tcPr>
            <w:tcW w:w="1088" w:type="dxa"/>
            <w:noWrap w:val="0"/>
            <w:vAlign w:val="center"/>
          </w:tcPr>
          <w:p>
            <w:pPr>
              <w:adjustRightIn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硫酸（9</w:t>
            </w:r>
            <w:r>
              <w:rPr>
                <w:rFonts w:hint="eastAsia" w:cs="Times New Roman"/>
                <w:sz w:val="21"/>
                <w:szCs w:val="21"/>
                <w:lang w:val="en-US" w:eastAsia="zh-CN"/>
              </w:rPr>
              <w:t>6</w:t>
            </w:r>
            <w:r>
              <w:rPr>
                <w:rFonts w:hint="default" w:ascii="Times New Roman" w:hAnsi="Times New Roman" w:eastAsia="宋体" w:cs="Times New Roman"/>
                <w:sz w:val="21"/>
                <w:szCs w:val="21"/>
              </w:rPr>
              <w:t>%）</w:t>
            </w:r>
          </w:p>
        </w:tc>
        <w:tc>
          <w:tcPr>
            <w:tcW w:w="856" w:type="dxa"/>
            <w:noWrap w:val="0"/>
            <w:vAlign w:val="center"/>
          </w:tcPr>
          <w:p>
            <w:pPr>
              <w:pStyle w:val="82"/>
              <w:snapToGrid/>
              <w:spacing w:before="0" w:beforeLines="0" w:after="0" w:afterLines="0" w:line="240" w:lineRule="auto"/>
              <w:jc w:val="center"/>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1302</w:t>
            </w:r>
          </w:p>
        </w:tc>
        <w:tc>
          <w:tcPr>
            <w:tcW w:w="1144" w:type="dxa"/>
            <w:noWrap w:val="0"/>
            <w:vAlign w:val="center"/>
          </w:tcPr>
          <w:p>
            <w:pPr>
              <w:pStyle w:val="82"/>
              <w:snapToGrid/>
              <w:spacing w:before="0" w:beforeLines="0" w:after="0" w:afterLines="0" w:line="240" w:lineRule="auto"/>
              <w:jc w:val="center"/>
              <w:rPr>
                <w:rFonts w:hint="default" w:ascii="Times New Roman" w:hAnsi="Times New Roman" w:eastAsia="宋体" w:cs="Times New Roman"/>
                <w:bCs/>
                <w:kern w:val="0"/>
                <w:sz w:val="21"/>
                <w:szCs w:val="21"/>
              </w:rPr>
            </w:pPr>
            <w:r>
              <w:rPr>
                <w:rFonts w:hint="default" w:ascii="Times New Roman" w:hAnsi="Times New Roman" w:eastAsia="宋体" w:cs="Times New Roman"/>
                <w:bCs/>
                <w:kern w:val="0"/>
                <w:sz w:val="21"/>
                <w:szCs w:val="21"/>
              </w:rPr>
              <w:t>7664-93-9</w:t>
            </w:r>
          </w:p>
        </w:tc>
        <w:tc>
          <w:tcPr>
            <w:tcW w:w="800"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330</w:t>
            </w:r>
          </w:p>
        </w:tc>
        <w:tc>
          <w:tcPr>
            <w:tcW w:w="761" w:type="dxa"/>
            <w:noWrap w:val="0"/>
            <w:vAlign w:val="center"/>
          </w:tcPr>
          <w:p>
            <w:pPr>
              <w:spacing w:line="240" w:lineRule="auto"/>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w:t>
            </w:r>
          </w:p>
        </w:tc>
        <w:tc>
          <w:tcPr>
            <w:tcW w:w="787" w:type="dxa"/>
            <w:noWrap w:val="0"/>
            <w:vAlign w:val="center"/>
          </w:tcPr>
          <w:p>
            <w:pPr>
              <w:spacing w:line="240" w:lineRule="auto"/>
              <w:jc w:val="cente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eastAsia="zh-CN"/>
              </w:rPr>
              <w:t>—</w:t>
            </w:r>
          </w:p>
        </w:tc>
        <w:tc>
          <w:tcPr>
            <w:tcW w:w="2560"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皮肤腐蚀/刺激,类别1A</w:t>
            </w:r>
          </w:p>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严重眼损伤/眼刺激,类别1</w:t>
            </w:r>
          </w:p>
        </w:tc>
        <w:tc>
          <w:tcPr>
            <w:tcW w:w="897" w:type="dxa"/>
            <w:noWrap w:val="0"/>
            <w:vAlign w:val="center"/>
          </w:tcPr>
          <w:p>
            <w:pPr>
              <w:widowControl/>
              <w:adjustRightIn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1" w:type="dxa"/>
            <w:noWrap w:val="0"/>
            <w:vAlign w:val="center"/>
          </w:tcPr>
          <w:p>
            <w:pPr>
              <w:numPr>
                <w:ilvl w:val="0"/>
                <w:numId w:val="9"/>
              </w:numPr>
              <w:spacing w:line="240" w:lineRule="auto"/>
              <w:ind w:left="434" w:leftChars="0" w:hanging="361" w:firstLineChars="0"/>
              <w:jc w:val="center"/>
              <w:rPr>
                <w:rFonts w:hint="default" w:ascii="Times New Roman" w:hAnsi="Times New Roman" w:eastAsia="宋体" w:cs="Times New Roman"/>
                <w:sz w:val="21"/>
                <w:szCs w:val="21"/>
              </w:rPr>
            </w:pPr>
          </w:p>
        </w:tc>
        <w:tc>
          <w:tcPr>
            <w:tcW w:w="1088" w:type="dxa"/>
            <w:noWrap w:val="0"/>
            <w:vAlign w:val="center"/>
          </w:tcPr>
          <w:p>
            <w:pPr>
              <w:adjustRightIn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糠醛</w:t>
            </w:r>
          </w:p>
          <w:p>
            <w:pPr>
              <w:adjustRightIn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（呋喃甲醛）</w:t>
            </w:r>
          </w:p>
        </w:tc>
        <w:tc>
          <w:tcPr>
            <w:tcW w:w="856"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1235</w:t>
            </w:r>
          </w:p>
        </w:tc>
        <w:tc>
          <w:tcPr>
            <w:tcW w:w="1144"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98-01-1</w:t>
            </w:r>
          </w:p>
        </w:tc>
        <w:tc>
          <w:tcPr>
            <w:tcW w:w="800"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161.8</w:t>
            </w:r>
          </w:p>
        </w:tc>
        <w:tc>
          <w:tcPr>
            <w:tcW w:w="761"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w:t>
            </w:r>
          </w:p>
        </w:tc>
        <w:tc>
          <w:tcPr>
            <w:tcW w:w="787"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2.1～19.3</w:t>
            </w:r>
          </w:p>
        </w:tc>
        <w:tc>
          <w:tcPr>
            <w:tcW w:w="2560"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易燃液体,类别3</w:t>
            </w:r>
          </w:p>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急性毒性-经口,类别3*</w:t>
            </w:r>
          </w:p>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急性毒性-吸入,类别3*</w:t>
            </w:r>
          </w:p>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皮肤腐蚀/刺激,类别2</w:t>
            </w:r>
          </w:p>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严重眼损伤/眼刺激,类别2</w:t>
            </w:r>
          </w:p>
        </w:tc>
        <w:tc>
          <w:tcPr>
            <w:tcW w:w="897" w:type="dxa"/>
            <w:noWrap w:val="0"/>
            <w:vAlign w:val="center"/>
          </w:tcPr>
          <w:p>
            <w:pPr>
              <w:pStyle w:val="2"/>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丙类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1" w:type="dxa"/>
            <w:noWrap w:val="0"/>
            <w:vAlign w:val="center"/>
          </w:tcPr>
          <w:p>
            <w:pPr>
              <w:numPr>
                <w:ilvl w:val="0"/>
                <w:numId w:val="9"/>
              </w:numPr>
              <w:spacing w:line="240" w:lineRule="auto"/>
              <w:ind w:left="434" w:leftChars="0" w:hanging="361" w:firstLineChars="0"/>
              <w:jc w:val="center"/>
              <w:rPr>
                <w:rFonts w:hint="default" w:ascii="Times New Roman" w:hAnsi="Times New Roman" w:eastAsia="宋体" w:cs="Times New Roman"/>
                <w:sz w:val="21"/>
                <w:szCs w:val="21"/>
              </w:rPr>
            </w:pPr>
          </w:p>
        </w:tc>
        <w:tc>
          <w:tcPr>
            <w:tcW w:w="1088" w:type="dxa"/>
            <w:noWrap w:val="0"/>
            <w:vAlign w:val="center"/>
          </w:tcPr>
          <w:p>
            <w:pPr>
              <w:adjustRightInd w:val="0"/>
              <w:spacing w:line="24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柴油</w:t>
            </w:r>
          </w:p>
        </w:tc>
        <w:tc>
          <w:tcPr>
            <w:tcW w:w="856"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rPr>
              <w:t>1674</w:t>
            </w:r>
          </w:p>
        </w:tc>
        <w:tc>
          <w:tcPr>
            <w:tcW w:w="1144" w:type="dxa"/>
            <w:noWrap w:val="0"/>
            <w:vAlign w:val="center"/>
          </w:tcPr>
          <w:p>
            <w:pPr>
              <w:spacing w:line="240" w:lineRule="auto"/>
              <w:jc w:val="center"/>
              <w:rPr>
                <w:rFonts w:hint="eastAsia" w:ascii="Times New Roman" w:hAnsi="Times New Roman" w:eastAsia="宋体" w:cs="Times New Roman"/>
                <w:kern w:val="0"/>
                <w:sz w:val="21"/>
                <w:szCs w:val="21"/>
                <w:lang w:eastAsia="zh-CN"/>
              </w:rPr>
            </w:pPr>
            <w:r>
              <w:rPr>
                <w:rFonts w:hint="eastAsia" w:ascii="Times New Roman" w:hAnsi="Times New Roman" w:eastAsia="宋体" w:cs="Times New Roman"/>
                <w:kern w:val="0"/>
                <w:sz w:val="21"/>
                <w:szCs w:val="21"/>
                <w:lang w:eastAsia="zh-CN"/>
              </w:rPr>
              <w:t>—</w:t>
            </w:r>
          </w:p>
        </w:tc>
        <w:tc>
          <w:tcPr>
            <w:tcW w:w="800" w:type="dxa"/>
            <w:noWrap w:val="0"/>
            <w:vAlign w:val="center"/>
          </w:tcPr>
          <w:p>
            <w:pPr>
              <w:spacing w:line="240" w:lineRule="auto"/>
              <w:jc w:val="center"/>
              <w:rPr>
                <w:rFonts w:hint="default" w:ascii="Times New Roman" w:hAnsi="Times New Roman" w:eastAsia="宋体" w:cs="Times New Roman"/>
                <w:sz w:val="21"/>
                <w:szCs w:val="21"/>
              </w:rPr>
            </w:pPr>
          </w:p>
        </w:tc>
        <w:tc>
          <w:tcPr>
            <w:tcW w:w="761"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rPr>
              <w:t>≥45</w:t>
            </w:r>
          </w:p>
        </w:tc>
        <w:tc>
          <w:tcPr>
            <w:tcW w:w="787" w:type="dxa"/>
            <w:noWrap w:val="0"/>
            <w:vAlign w:val="center"/>
          </w:tcPr>
          <w:p>
            <w:pPr>
              <w:spacing w:line="240" w:lineRule="auto"/>
              <w:jc w:val="center"/>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1.5～4.5</w:t>
            </w:r>
          </w:p>
        </w:tc>
        <w:tc>
          <w:tcPr>
            <w:tcW w:w="2560"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rPr>
              <w:t>易燃液体</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类别3</w:t>
            </w:r>
          </w:p>
        </w:tc>
        <w:tc>
          <w:tcPr>
            <w:tcW w:w="897" w:type="dxa"/>
            <w:noWrap w:val="0"/>
            <w:vAlign w:val="center"/>
          </w:tcPr>
          <w:p>
            <w:pPr>
              <w:pStyle w:val="2"/>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rPr>
              <w:t>乙类或丙类</w:t>
            </w:r>
          </w:p>
        </w:tc>
      </w:tr>
    </w:tbl>
    <w:p>
      <w:pPr>
        <w:pStyle w:val="2"/>
        <w:ind w:left="0" w:leftChars="0" w:firstLine="0" w:firstLineChars="0"/>
        <w:jc w:val="center"/>
        <w:rPr>
          <w:rFonts w:hint="eastAsia"/>
        </w:rPr>
      </w:pPr>
    </w:p>
    <w:p>
      <w:pPr>
        <w:pStyle w:val="71"/>
        <w:spacing w:line="360" w:lineRule="auto"/>
        <w:jc w:val="center"/>
        <w:rPr>
          <w:rFonts w:hint="eastAsia" w:ascii="宋体" w:hAnsi="宋体" w:eastAsia="宋体" w:cs="宋体"/>
          <w:color w:val="auto"/>
        </w:rPr>
        <w:sectPr>
          <w:pgSz w:w="11906" w:h="16838"/>
          <w:pgMar w:top="1418" w:right="1208" w:bottom="1134" w:left="1588" w:header="851" w:footer="737" w:gutter="0"/>
          <w:pgBorders>
            <w:top w:val="none" w:sz="0" w:space="0"/>
            <w:left w:val="none" w:sz="0" w:space="0"/>
            <w:bottom w:val="none" w:sz="0" w:space="0"/>
            <w:right w:val="none" w:sz="0" w:space="0"/>
          </w:pgBorders>
          <w:pgNumType w:fmt="decimal"/>
          <w:cols w:space="720" w:num="1"/>
          <w:docGrid w:type="linesAndChars" w:linePitch="312" w:charSpace="0"/>
        </w:sectPr>
      </w:pPr>
    </w:p>
    <w:bookmarkEnd w:id="83"/>
    <w:bookmarkEnd w:id="84"/>
    <w:bookmarkEnd w:id="85"/>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86" w:name="_Toc29344"/>
      <w:r>
        <w:rPr>
          <w:rFonts w:hint="eastAsia" w:ascii="楷体" w:hAnsi="楷体" w:eastAsia="楷体" w:cs="楷体"/>
          <w:b w:val="0"/>
          <w:bCs/>
          <w:kern w:val="2"/>
          <w:sz w:val="32"/>
          <w:szCs w:val="32"/>
          <w:lang w:val="en-US" w:eastAsia="zh-CN"/>
        </w:rPr>
        <w:t>生产、储运过程的危险有害因素分析结果</w:t>
      </w:r>
      <w:bookmarkEnd w:id="80"/>
      <w:bookmarkEnd w:id="81"/>
      <w:bookmarkEnd w:id="82"/>
      <w:bookmarkEnd w:id="86"/>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生产、储运过程的主要危险、有害因素包括：火灾、爆炸、</w:t>
      </w:r>
      <w:r>
        <w:rPr>
          <w:rFonts w:hint="eastAsia"/>
          <w:sz w:val="28"/>
          <w:szCs w:val="28"/>
        </w:rPr>
        <w:t>压力容器爆炸、</w:t>
      </w:r>
      <w:r>
        <w:rPr>
          <w:rFonts w:hint="eastAsia" w:ascii="Times New Roman" w:hAnsi="Times New Roman" w:eastAsia="宋体" w:cs="Times New Roman"/>
          <w:snapToGrid/>
          <w:color w:val="000000"/>
          <w:w w:val="100"/>
          <w:kern w:val="2"/>
          <w:sz w:val="28"/>
          <w:szCs w:val="28"/>
          <w:lang w:val="en-US" w:eastAsia="zh-CN"/>
        </w:rPr>
        <w:t>中毒和窒息、机械伤害、触电、物体打击、高处坠落、灼烫、车辆伤害、淹溺、噪声与振动、粉尘伤害。</w:t>
      </w:r>
      <w:r>
        <w:rPr>
          <w:rFonts w:hint="eastAsia" w:ascii="宋体" w:hAnsi="宋体" w:cs="宋体"/>
          <w:sz w:val="28"/>
          <w:szCs w:val="28"/>
        </w:rPr>
        <w:t>危险有害因素分布情况见表</w:t>
      </w:r>
      <w:r>
        <w:rPr>
          <w:rFonts w:hint="eastAsia" w:ascii="Times New Roman" w:hAnsi="Times New Roman" w:eastAsia="宋体" w:cs="Times New Roman"/>
          <w:snapToGrid/>
          <w:color w:val="000000"/>
          <w:w w:val="100"/>
          <w:kern w:val="2"/>
          <w:sz w:val="28"/>
          <w:szCs w:val="28"/>
          <w:lang w:val="en-US" w:eastAsia="zh-CN"/>
        </w:rPr>
        <w:t>4-2。危险有害因素分析过程见附件2。</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表4</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2 危险有害因素分布情况表</w:t>
      </w:r>
    </w:p>
    <w:tbl>
      <w:tblPr>
        <w:tblStyle w:val="38"/>
        <w:tblW w:w="8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1839"/>
        <w:gridCol w:w="6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spacing w:line="240" w:lineRule="auto"/>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sz w:val="21"/>
                <w:szCs w:val="21"/>
              </w:rPr>
              <w:t>序号</w:t>
            </w:r>
          </w:p>
        </w:tc>
        <w:tc>
          <w:tcPr>
            <w:tcW w:w="1839" w:type="dxa"/>
            <w:noWrap w:val="0"/>
            <w:vAlign w:val="center"/>
          </w:tcPr>
          <w:p>
            <w:pPr>
              <w:spacing w:line="240" w:lineRule="auto"/>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sz w:val="21"/>
                <w:szCs w:val="21"/>
              </w:rPr>
              <w:t>危险有害因素</w:t>
            </w:r>
          </w:p>
        </w:tc>
        <w:tc>
          <w:tcPr>
            <w:tcW w:w="6246" w:type="dxa"/>
            <w:noWrap w:val="0"/>
            <w:vAlign w:val="center"/>
          </w:tcPr>
          <w:p>
            <w:pPr>
              <w:spacing w:line="240" w:lineRule="auto"/>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sz w:val="21"/>
                <w:szCs w:val="21"/>
              </w:rPr>
              <w:t>主要存在部位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火灾、爆炸</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水解精制</w:t>
            </w:r>
            <w:r>
              <w:rPr>
                <w:rFonts w:hint="eastAsia" w:ascii="Times New Roman" w:hAnsi="Times New Roman" w:eastAsia="宋体" w:cs="Times New Roman"/>
                <w:sz w:val="21"/>
                <w:szCs w:val="21"/>
                <w:lang w:val="en-US" w:eastAsia="zh-CN"/>
              </w:rPr>
              <w:t>工段</w:t>
            </w:r>
            <w:r>
              <w:rPr>
                <w:rFonts w:hint="default" w:ascii="Times New Roman" w:hAnsi="Times New Roman" w:eastAsia="宋体" w:cs="Times New Roman"/>
                <w:sz w:val="21"/>
                <w:szCs w:val="21"/>
              </w:rPr>
              <w:t>、粉碎</w:t>
            </w:r>
            <w:r>
              <w:rPr>
                <w:rFonts w:hint="eastAsia" w:ascii="Times New Roman" w:hAnsi="Times New Roman" w:eastAsia="宋体" w:cs="Times New Roman"/>
                <w:sz w:val="21"/>
                <w:szCs w:val="21"/>
                <w:lang w:val="en-US" w:eastAsia="zh-CN"/>
              </w:rPr>
              <w:t>工段</w:t>
            </w:r>
            <w:r>
              <w:rPr>
                <w:rFonts w:hint="default" w:ascii="Times New Roman" w:hAnsi="Times New Roman" w:eastAsia="宋体" w:cs="Times New Roman"/>
                <w:sz w:val="21"/>
                <w:szCs w:val="21"/>
              </w:rPr>
              <w:t>、罐区、玉米芯堆场、</w:t>
            </w:r>
            <w:r>
              <w:rPr>
                <w:rFonts w:hint="eastAsia" w:ascii="Times New Roman" w:hAnsi="Times New Roman" w:eastAsia="宋体" w:cs="Times New Roman"/>
                <w:sz w:val="21"/>
                <w:szCs w:val="21"/>
                <w:lang w:val="en-US" w:eastAsia="zh-CN"/>
              </w:rPr>
              <w:t>堆渣工段等；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压力容器爆炸</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水解锅、蒸汽锅炉；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中毒</w:t>
            </w:r>
            <w:r>
              <w:rPr>
                <w:rFonts w:hint="eastAsia" w:ascii="Times New Roman" w:hAnsi="Times New Roman" w:eastAsia="宋体" w:cs="Times New Roman"/>
                <w:sz w:val="21"/>
                <w:szCs w:val="21"/>
                <w:lang w:val="en-US" w:eastAsia="zh-CN"/>
              </w:rPr>
              <w:t>和</w:t>
            </w:r>
            <w:r>
              <w:rPr>
                <w:rFonts w:hint="default" w:ascii="Times New Roman" w:hAnsi="Times New Roman" w:eastAsia="宋体" w:cs="Times New Roman"/>
                <w:sz w:val="21"/>
                <w:szCs w:val="21"/>
              </w:rPr>
              <w:t>窒息</w:t>
            </w:r>
          </w:p>
        </w:tc>
        <w:tc>
          <w:tcPr>
            <w:tcW w:w="6246" w:type="dxa"/>
            <w:noWrap w:val="0"/>
            <w:vAlign w:val="center"/>
          </w:tcPr>
          <w:p>
            <w:pPr>
              <w:spacing w:line="24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硫酸、糠醛作业空间、有限空间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机械伤害</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设备设施的运动部件；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触电</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配电间、电气线路及各种电器设备；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sz w:val="21"/>
                <w:szCs w:val="21"/>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高处坠落</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罐顶、作业平台、室外疏散楼梯；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sz w:val="21"/>
                <w:szCs w:val="21"/>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物体打击</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存在物体意外飞出、降落等的场所；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灼烫</w:t>
            </w:r>
          </w:p>
        </w:tc>
        <w:tc>
          <w:tcPr>
            <w:tcW w:w="6246" w:type="dxa"/>
            <w:noWrap w:val="0"/>
            <w:vAlign w:val="center"/>
          </w:tcPr>
          <w:p>
            <w:pPr>
              <w:spacing w:line="240" w:lineRule="auto"/>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硫酸罐区、硫酸管道、水解、水解</w:t>
            </w:r>
            <w:r>
              <w:rPr>
                <w:rFonts w:hint="eastAsia" w:ascii="Times New Roman" w:hAnsi="Times New Roman" w:eastAsia="宋体" w:cs="Times New Roman"/>
                <w:sz w:val="21"/>
                <w:szCs w:val="21"/>
                <w:lang w:val="en-US" w:eastAsia="zh-CN"/>
              </w:rPr>
              <w:t>工段</w:t>
            </w:r>
            <w:r>
              <w:rPr>
                <w:rFonts w:hint="default" w:ascii="Times New Roman" w:hAnsi="Times New Roman" w:eastAsia="宋体" w:cs="Times New Roman"/>
                <w:sz w:val="21"/>
                <w:szCs w:val="21"/>
              </w:rPr>
              <w:t>加酸位置</w:t>
            </w:r>
            <w:r>
              <w:rPr>
                <w:rFonts w:hint="eastAsia" w:ascii="Times New Roman" w:hAnsi="Times New Roman" w:eastAsia="宋体" w:cs="Times New Roman"/>
                <w:sz w:val="21"/>
                <w:szCs w:val="21"/>
                <w:lang w:val="en-US" w:eastAsia="zh-CN"/>
              </w:rPr>
              <w:t>等；</w:t>
            </w:r>
          </w:p>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蒸汽管道、高温设备表面；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车辆伤害</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厂区</w:t>
            </w:r>
            <w:r>
              <w:rPr>
                <w:rFonts w:hint="eastAsia" w:ascii="Times New Roman" w:hAnsi="Times New Roman" w:eastAsia="宋体" w:cs="Times New Roman"/>
                <w:sz w:val="21"/>
                <w:szCs w:val="21"/>
                <w:lang w:val="en-US" w:eastAsia="zh-CN"/>
              </w:rPr>
              <w:t>内</w:t>
            </w:r>
            <w:r>
              <w:rPr>
                <w:rFonts w:hint="default" w:ascii="Times New Roman" w:hAnsi="Times New Roman" w:eastAsia="宋体"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淹溺</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消防水池、事故水池、循环水池等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噪声</w:t>
            </w:r>
            <w:r>
              <w:rPr>
                <w:rFonts w:hint="eastAsia" w:ascii="Times New Roman" w:hAnsi="Times New Roman" w:eastAsia="宋体" w:cs="Times New Roman"/>
                <w:sz w:val="21"/>
                <w:szCs w:val="21"/>
                <w:lang w:val="en-US" w:eastAsia="zh-CN"/>
              </w:rPr>
              <w:t>与振动</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水解精制</w:t>
            </w:r>
            <w:r>
              <w:rPr>
                <w:rFonts w:hint="eastAsia" w:ascii="Times New Roman" w:hAnsi="Times New Roman" w:eastAsia="宋体" w:cs="Times New Roman"/>
                <w:sz w:val="21"/>
                <w:szCs w:val="21"/>
                <w:lang w:val="en-US" w:eastAsia="zh-CN"/>
              </w:rPr>
              <w:t>工段</w:t>
            </w:r>
            <w:r>
              <w:rPr>
                <w:rFonts w:hint="default" w:ascii="Times New Roman" w:hAnsi="Times New Roman" w:eastAsia="宋体" w:cs="Times New Roman"/>
                <w:sz w:val="21"/>
                <w:szCs w:val="21"/>
              </w:rPr>
              <w:t>、粉碎</w:t>
            </w:r>
            <w:r>
              <w:rPr>
                <w:rFonts w:hint="eastAsia" w:ascii="Times New Roman" w:hAnsi="Times New Roman" w:eastAsia="宋体" w:cs="Times New Roman"/>
                <w:sz w:val="21"/>
                <w:szCs w:val="21"/>
                <w:lang w:val="en-US" w:eastAsia="zh-CN"/>
              </w:rPr>
              <w:t>工段</w:t>
            </w:r>
            <w:r>
              <w:rPr>
                <w:rFonts w:hint="default" w:ascii="Times New Roman" w:hAnsi="Times New Roman" w:eastAsia="宋体" w:cs="Times New Roman"/>
                <w:sz w:val="21"/>
                <w:szCs w:val="21"/>
              </w:rPr>
              <w:t>及有设备设施运行的场所；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7" w:type="dxa"/>
            <w:noWrap w:val="0"/>
            <w:vAlign w:val="center"/>
          </w:tcPr>
          <w:p>
            <w:pPr>
              <w:numPr>
                <w:ilvl w:val="0"/>
                <w:numId w:val="10"/>
              </w:numPr>
              <w:spacing w:line="240" w:lineRule="auto"/>
              <w:ind w:left="425" w:leftChars="0" w:hanging="323" w:firstLineChars="0"/>
              <w:jc w:val="center"/>
              <w:rPr>
                <w:rFonts w:hint="default" w:ascii="Times New Roman" w:hAnsi="Times New Roman" w:eastAsia="宋体" w:cs="Times New Roman"/>
                <w:kern w:val="2"/>
                <w:sz w:val="21"/>
                <w:szCs w:val="21"/>
                <w:lang w:val="en-US" w:eastAsia="zh-CN" w:bidi="ar-SA"/>
              </w:rPr>
            </w:pPr>
          </w:p>
        </w:tc>
        <w:tc>
          <w:tcPr>
            <w:tcW w:w="1839"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粉尘伤害</w:t>
            </w:r>
          </w:p>
        </w:tc>
        <w:tc>
          <w:tcPr>
            <w:tcW w:w="6246" w:type="dxa"/>
            <w:noWrap w:val="0"/>
            <w:vAlign w:val="center"/>
          </w:tcPr>
          <w:p>
            <w:pPr>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粉碎</w:t>
            </w:r>
            <w:r>
              <w:rPr>
                <w:rFonts w:hint="eastAsia" w:ascii="Times New Roman" w:hAnsi="Times New Roman" w:eastAsia="宋体" w:cs="Times New Roman"/>
                <w:sz w:val="21"/>
                <w:szCs w:val="21"/>
                <w:lang w:val="en-US" w:eastAsia="zh-CN"/>
              </w:rPr>
              <w:t>工段</w:t>
            </w:r>
            <w:r>
              <w:rPr>
                <w:rFonts w:hint="default" w:ascii="Times New Roman" w:hAnsi="Times New Roman" w:eastAsia="宋体" w:cs="Times New Roman"/>
                <w:sz w:val="21"/>
                <w:szCs w:val="21"/>
              </w:rPr>
              <w:t>、玉米芯堆场、</w:t>
            </w:r>
            <w:r>
              <w:rPr>
                <w:rFonts w:hint="eastAsia" w:ascii="Times New Roman" w:hAnsi="Times New Roman" w:eastAsia="宋体" w:cs="Times New Roman"/>
                <w:sz w:val="21"/>
                <w:szCs w:val="21"/>
                <w:lang w:val="en-US" w:eastAsia="zh-CN"/>
              </w:rPr>
              <w:t>堆渣工段</w:t>
            </w:r>
            <w:r>
              <w:rPr>
                <w:rFonts w:hint="default" w:ascii="Times New Roman" w:hAnsi="Times New Roman" w:eastAsia="宋体" w:cs="Times New Roman"/>
                <w:sz w:val="21"/>
                <w:szCs w:val="21"/>
              </w:rPr>
              <w:t>；</w:t>
            </w:r>
          </w:p>
        </w:tc>
      </w:tr>
    </w:tbl>
    <w:p>
      <w:pPr>
        <w:pStyle w:val="24"/>
        <w:ind w:left="0" w:leftChars="0" w:firstLine="0" w:firstLineChars="0"/>
        <w:jc w:val="center"/>
        <w:rPr>
          <w:rFonts w:hint="eastAsia"/>
          <w:lang w:val="en-US" w:eastAsia="zh-CN"/>
        </w:rPr>
      </w:pPr>
    </w:p>
    <w:p>
      <w:pPr>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outlineLvl w:val="1"/>
        <w:rPr>
          <w:rFonts w:hint="eastAsia" w:ascii="楷体" w:hAnsi="楷体" w:eastAsia="楷体" w:cs="楷体"/>
          <w:b w:val="0"/>
          <w:bCs/>
          <w:kern w:val="2"/>
          <w:sz w:val="32"/>
          <w:szCs w:val="32"/>
          <w:lang w:val="en-US" w:eastAsia="zh-CN" w:bidi="ar-SA"/>
        </w:rPr>
      </w:pPr>
      <w:bookmarkStart w:id="87" w:name="_Toc28177"/>
      <w:bookmarkStart w:id="88" w:name="_Toc24375"/>
      <w:bookmarkStart w:id="89" w:name="_Toc20284"/>
      <w:bookmarkStart w:id="90" w:name="_Toc9962"/>
      <w:bookmarkStart w:id="91" w:name="_Toc532976998"/>
      <w:r>
        <w:rPr>
          <w:rFonts w:hint="eastAsia" w:ascii="楷体" w:hAnsi="楷体" w:eastAsia="楷体" w:cs="楷体"/>
          <w:b w:val="0"/>
          <w:bCs/>
          <w:kern w:val="2"/>
          <w:sz w:val="32"/>
          <w:szCs w:val="32"/>
          <w:lang w:val="en-US" w:eastAsia="zh-CN" w:bidi="ar-SA"/>
        </w:rPr>
        <w:t>“两重点，一重大”辨识结果</w:t>
      </w:r>
      <w:bookmarkEnd w:id="87"/>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重点监管危险化学品情况</w:t>
      </w:r>
    </w:p>
    <w:p>
      <w:pPr>
        <w:spacing w:line="360" w:lineRule="auto"/>
        <w:ind w:firstLine="560" w:firstLineChars="200"/>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根据《国家安全监管总局关于公布首批重点监管的危险化学品名录的通知》（安监总管三[2011]95号）和《国家安全监管总局关于公布第二批重点监管危险化学品名录的通知》（安监总管三[2013]12号），</w:t>
      </w: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危险化学品生产储存过程中不涉及重点监管危险化学品。</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重点监管危险化工工艺情况</w:t>
      </w:r>
    </w:p>
    <w:p>
      <w:pPr>
        <w:spacing w:line="360" w:lineRule="auto"/>
        <w:ind w:firstLine="560" w:firstLineChars="200"/>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根据《国家安全监管总局关于公布首批重点监管的危险化工工艺目录的通知》（安监总管三[2009]116号）及《国家安全监管总局关于公布第二批重点监管危险化工工艺目录和调整首批重点监管危险化工工艺中部分典型工艺的通知》（安监总管三[2013]3号），</w:t>
      </w: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生产过程未涉及重点监管危险化工工艺。</w:t>
      </w:r>
    </w:p>
    <w:p>
      <w:pPr>
        <w:pStyle w:val="5"/>
        <w:keepNext/>
        <w:keepLines/>
        <w:pageBreakBefore w:val="0"/>
        <w:widowControl w:val="0"/>
        <w:numPr>
          <w:ilvl w:val="2"/>
          <w:numId w:val="3"/>
        </w:numPr>
        <w:kinsoku/>
        <w:wordWrap/>
        <w:overflowPunct/>
        <w:topLinePunct w:val="0"/>
        <w:autoSpaceDE/>
        <w:autoSpaceDN/>
        <w:bidi w:val="0"/>
        <w:adjustRightInd/>
        <w:snapToGrid/>
        <w:spacing w:before="157" w:beforeLines="50" w:beforeAutospacing="0" w:after="157" w:afterLines="50" w:afterAutospacing="0" w:line="360" w:lineRule="auto"/>
        <w:ind w:left="709" w:leftChars="0" w:hanging="709" w:firstLineChars="0"/>
        <w:jc w:val="left"/>
        <w:textAlignment w:val="auto"/>
        <w:rPr>
          <w:rFonts w:hint="eastAsia" w:ascii="Times New Roman" w:hAnsi="Times New Roman" w:eastAsia="黑体" w:cs="Times New Roman"/>
          <w:b w:val="0"/>
          <w:bCs/>
          <w:kern w:val="2"/>
          <w:sz w:val="28"/>
          <w:szCs w:val="28"/>
          <w:lang w:val="en-US" w:eastAsia="zh-CN" w:bidi="ar-SA"/>
        </w:rPr>
      </w:pPr>
      <w:r>
        <w:rPr>
          <w:rFonts w:hint="eastAsia" w:ascii="Times New Roman" w:hAnsi="Times New Roman" w:eastAsia="黑体" w:cs="Times New Roman"/>
          <w:b w:val="0"/>
          <w:bCs/>
          <w:kern w:val="2"/>
          <w:sz w:val="28"/>
          <w:szCs w:val="28"/>
          <w:lang w:val="en-US" w:eastAsia="zh-CN" w:bidi="ar-SA"/>
        </w:rPr>
        <w:t>危险化学品重大危险源辨识</w:t>
      </w:r>
    </w:p>
    <w:p>
      <w:pPr>
        <w:adjustRightInd w:val="0"/>
        <w:spacing w:line="360" w:lineRule="auto"/>
        <w:ind w:firstLine="560" w:firstLineChars="200"/>
        <w:rPr>
          <w:rFonts w:hint="default"/>
          <w:lang w:val="en-US" w:eastAsia="zh-CN"/>
        </w:rPr>
      </w:pPr>
      <w:r>
        <w:rPr>
          <w:rFonts w:hint="eastAsia" w:ascii="Times New Roman" w:hAnsi="Times New Roman" w:eastAsia="宋体" w:cs="Times New Roman"/>
          <w:color w:val="auto"/>
          <w:sz w:val="28"/>
          <w:szCs w:val="28"/>
          <w:lang w:eastAsia="zh-CN"/>
        </w:rPr>
        <w:t>根据《危险化学品重大危险源辨识》（GB18218-2018），经辨识</w:t>
      </w: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未构成危险化学品重大危险源，具体辨识分析过程详见附件2。</w:t>
      </w:r>
    </w:p>
    <w:bookmarkEnd w:id="88"/>
    <w:bookmarkEnd w:id="89"/>
    <w:bookmarkEnd w:id="90"/>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92" w:name="_Toc11609_WPSOffice_Level2"/>
      <w:bookmarkStart w:id="93" w:name="_Toc12670_WPSOffice_Level2"/>
      <w:bookmarkStart w:id="94" w:name="_Toc26434"/>
      <w:r>
        <w:rPr>
          <w:rFonts w:hint="eastAsia" w:ascii="楷体" w:hAnsi="楷体" w:eastAsia="楷体" w:cs="楷体"/>
          <w:b w:val="0"/>
          <w:bCs/>
          <w:kern w:val="2"/>
          <w:sz w:val="32"/>
          <w:szCs w:val="32"/>
          <w:lang w:val="en-US" w:eastAsia="zh-CN"/>
        </w:rPr>
        <w:t>生产装置、设施、周边环境及自然条件的影响分析</w:t>
      </w:r>
      <w:bookmarkEnd w:id="91"/>
      <w:bookmarkEnd w:id="92"/>
      <w:bookmarkEnd w:id="93"/>
      <w:bookmarkEnd w:id="94"/>
    </w:p>
    <w:p>
      <w:pPr>
        <w:keepNext w:val="0"/>
        <w:keepLines w:val="0"/>
        <w:pageBreakBefore w:val="0"/>
        <w:widowControl w:val="0"/>
        <w:numPr>
          <w:ilvl w:val="2"/>
          <w:numId w:val="0"/>
        </w:numPr>
        <w:kinsoku/>
        <w:wordWrap/>
        <w:overflowPunct/>
        <w:topLinePunct w:val="0"/>
        <w:autoSpaceDE/>
        <w:autoSpaceDN/>
        <w:bidi w:val="0"/>
        <w:adjustRightInd/>
        <w:snapToGrid/>
        <w:spacing w:before="157" w:beforeLines="50" w:beforeAutospacing="0" w:after="157" w:afterLines="50" w:afterAutospacing="0" w:line="360" w:lineRule="auto"/>
        <w:ind w:left="720" w:leftChars="0" w:hanging="720"/>
        <w:jc w:val="left"/>
        <w:textAlignment w:val="auto"/>
        <w:outlineLvl w:val="2"/>
        <w:rPr>
          <w:rFonts w:hint="eastAsia" w:ascii="Times New Roman" w:hAnsi="Times New Roman" w:eastAsia="黑体" w:cs="Times New Roman"/>
          <w:b w:val="0"/>
          <w:bCs/>
          <w:kern w:val="0"/>
          <w:sz w:val="28"/>
          <w:szCs w:val="28"/>
          <w:lang w:val="en-US" w:eastAsia="zh-CN" w:bidi="ar"/>
        </w:rPr>
      </w:pPr>
      <w:r>
        <w:rPr>
          <w:rFonts w:hint="eastAsia" w:ascii="Times New Roman" w:hAnsi="Times New Roman" w:eastAsia="黑体" w:cs="Times New Roman"/>
          <w:b w:val="0"/>
          <w:bCs/>
          <w:kern w:val="0"/>
          <w:sz w:val="28"/>
          <w:szCs w:val="28"/>
          <w:lang w:val="en-US" w:eastAsia="zh-CN" w:bidi="ar"/>
        </w:rPr>
        <w:t>4.4.1 生产装置及设施对周边环境的影响</w:t>
      </w:r>
    </w:p>
    <w:p>
      <w:pPr>
        <w:ind w:firstLine="560" w:firstLineChars="200"/>
        <w:rPr>
          <w:rFonts w:hint="eastAsia" w:ascii="宋体" w:hAnsi="宋体" w:eastAsia="宋体" w:cs="Times New Roman"/>
          <w:sz w:val="28"/>
          <w:szCs w:val="28"/>
        </w:rPr>
      </w:pP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lang w:eastAsia="zh-CN"/>
        </w:rPr>
        <w:t>位于</w:t>
      </w:r>
      <w:r>
        <w:rPr>
          <w:rFonts w:hint="eastAsia" w:cs="Times New Roman"/>
          <w:color w:val="auto"/>
          <w:sz w:val="28"/>
          <w:szCs w:val="28"/>
          <w:lang w:eastAsia="zh-CN"/>
        </w:rPr>
        <w:t>黑山县新兴镇卧牛村</w:t>
      </w:r>
      <w:r>
        <w:rPr>
          <w:rFonts w:hint="eastAsia" w:ascii="Times New Roman" w:hAnsi="Times New Roman" w:eastAsia="宋体" w:cs="Times New Roman"/>
          <w:color w:val="auto"/>
          <w:sz w:val="28"/>
          <w:szCs w:val="28"/>
          <w:lang w:eastAsia="zh-CN"/>
        </w:rPr>
        <w:t>，厂区四周均为农田或空地，由北侧引入一条进厂道路</w:t>
      </w:r>
      <w:r>
        <w:rPr>
          <w:rFonts w:hint="eastAsia" w:ascii="Times New Roman" w:hAnsi="Times New Roman" w:cs="Times New Roman"/>
          <w:sz w:val="28"/>
          <w:szCs w:val="28"/>
          <w:lang w:eastAsia="zh-CN"/>
        </w:rPr>
        <w:t>。</w:t>
      </w:r>
      <w:r>
        <w:rPr>
          <w:rFonts w:hint="eastAsia" w:hAnsi="宋体" w:cs="Times New Roman"/>
          <w:sz w:val="28"/>
          <w:szCs w:val="28"/>
          <w:lang w:eastAsia="zh-CN"/>
        </w:rPr>
        <w:t>该企业周边</w:t>
      </w:r>
      <w:r>
        <w:rPr>
          <w:rFonts w:ascii="Calibri" w:hAnsi="Calibri" w:eastAsia="宋体" w:cs="Times New Roman"/>
          <w:sz w:val="28"/>
          <w:szCs w:val="28"/>
        </w:rPr>
        <w:t>无居民区、商业中心、公园等人口密集区域</w:t>
      </w:r>
      <w:r>
        <w:rPr>
          <w:rFonts w:hint="eastAsia" w:ascii="Calibri" w:hAnsi="Calibri" w:eastAsia="宋体" w:cs="Times New Roman"/>
          <w:sz w:val="28"/>
          <w:szCs w:val="28"/>
          <w:lang w:eastAsia="zh-CN"/>
        </w:rPr>
        <w:t>，</w:t>
      </w:r>
      <w:r>
        <w:rPr>
          <w:rFonts w:ascii="Calibri" w:hAnsi="Calibri" w:eastAsia="宋体" w:cs="Times New Roman"/>
          <w:sz w:val="28"/>
          <w:szCs w:val="28"/>
        </w:rPr>
        <w:t>无学校、医院、影剧院、体育场（馆）等公共设施</w:t>
      </w:r>
      <w:r>
        <w:rPr>
          <w:rFonts w:hint="eastAsia" w:ascii="Calibri" w:hAnsi="Calibri" w:eastAsia="宋体" w:cs="Times New Roman"/>
          <w:sz w:val="28"/>
          <w:szCs w:val="28"/>
          <w:lang w:eastAsia="zh-CN"/>
        </w:rPr>
        <w:t>，</w:t>
      </w:r>
      <w:r>
        <w:rPr>
          <w:rFonts w:ascii="宋体" w:hAnsi="宋体" w:eastAsia="宋体" w:cs="Times New Roman"/>
          <w:sz w:val="28"/>
          <w:szCs w:val="28"/>
        </w:rPr>
        <w:t>无车站、码头、机场以及铁路、水路交通干线、地铁风亭及出入口等</w:t>
      </w:r>
      <w:r>
        <w:rPr>
          <w:rFonts w:hint="eastAsia" w:ascii="宋体" w:hAnsi="宋体" w:eastAsia="宋体" w:cs="Times New Roman"/>
          <w:sz w:val="28"/>
          <w:szCs w:val="28"/>
          <w:lang w:eastAsia="zh-CN"/>
        </w:rPr>
        <w:t>，</w:t>
      </w:r>
      <w:r>
        <w:rPr>
          <w:rFonts w:hint="eastAsia" w:ascii="宋体" w:hAnsi="宋体" w:eastAsia="宋体" w:cs="Times New Roman"/>
          <w:sz w:val="28"/>
          <w:szCs w:val="28"/>
        </w:rPr>
        <w:t>无军事禁区、军事管理区</w:t>
      </w:r>
      <w:r>
        <w:rPr>
          <w:rFonts w:hint="eastAsia" w:ascii="宋体" w:hAnsi="宋体" w:eastAsia="宋体" w:cs="Times New Roman"/>
          <w:sz w:val="28"/>
          <w:szCs w:val="28"/>
          <w:lang w:eastAsia="zh-CN"/>
        </w:rPr>
        <w:t>，</w:t>
      </w:r>
      <w:r>
        <w:rPr>
          <w:rFonts w:hint="eastAsia" w:ascii="宋体" w:hAnsi="宋体" w:eastAsia="宋体" w:cs="Times New Roman"/>
          <w:sz w:val="28"/>
          <w:szCs w:val="28"/>
        </w:rPr>
        <w:t>无</w:t>
      </w:r>
      <w:r>
        <w:rPr>
          <w:rFonts w:ascii="宋体" w:hAnsi="宋体" w:eastAsia="宋体" w:cs="Times New Roman"/>
          <w:sz w:val="28"/>
          <w:szCs w:val="28"/>
        </w:rPr>
        <w:t>依据法律法规需要特殊保护的敏感目标</w:t>
      </w:r>
      <w:r>
        <w:rPr>
          <w:rFonts w:hint="eastAsia" w:ascii="宋体" w:hAnsi="宋体" w:eastAsia="宋体" w:cs="Times New Roman"/>
          <w:sz w:val="28"/>
          <w:szCs w:val="28"/>
        </w:rPr>
        <w:t>和其它需要特殊保护的区域。</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厂区四周设有围墙，</w:t>
      </w:r>
      <w:r>
        <w:rPr>
          <w:rFonts w:hint="eastAsia" w:ascii="Times New Roman" w:hAnsi="宋体" w:eastAsia="宋体" w:cs="Times New Roman"/>
          <w:sz w:val="28"/>
          <w:szCs w:val="28"/>
          <w:lang w:eastAsia="zh-CN"/>
        </w:rPr>
        <w:t>厂区</w:t>
      </w:r>
      <w:r>
        <w:rPr>
          <w:rFonts w:hint="eastAsia" w:hAnsi="宋体" w:cs="Times New Roman"/>
          <w:sz w:val="28"/>
          <w:szCs w:val="28"/>
          <w:lang w:val="en-US" w:eastAsia="zh-CN"/>
        </w:rPr>
        <w:t>北</w:t>
      </w:r>
      <w:r>
        <w:rPr>
          <w:rFonts w:hint="eastAsia" w:ascii="Times New Roman" w:hAnsi="宋体" w:eastAsia="宋体" w:cs="Times New Roman"/>
          <w:sz w:val="28"/>
          <w:szCs w:val="28"/>
          <w:lang w:eastAsia="zh-CN"/>
        </w:rPr>
        <w:t>侧设有出入口</w:t>
      </w:r>
      <w:r>
        <w:rPr>
          <w:rFonts w:hint="eastAsia" w:ascii="Times New Roman" w:hAnsi="宋体" w:eastAsia="宋体" w:cs="Times New Roman"/>
          <w:sz w:val="28"/>
          <w:szCs w:val="28"/>
          <w:lang w:val="en-US" w:eastAsia="zh-CN"/>
        </w:rPr>
        <w:t>。</w:t>
      </w:r>
      <w:r>
        <w:rPr>
          <w:rFonts w:hint="eastAsia" w:hAnsi="宋体" w:cs="Times New Roman"/>
          <w:sz w:val="28"/>
          <w:szCs w:val="28"/>
          <w:lang w:val="en-US" w:eastAsia="zh-CN"/>
        </w:rPr>
        <w:t>黑山鸿泰化工有限公司</w:t>
      </w:r>
      <w:r>
        <w:rPr>
          <w:rFonts w:hint="eastAsia" w:ascii="Times New Roman" w:hAnsi="宋体" w:eastAsia="宋体" w:cs="Times New Roman"/>
          <w:sz w:val="28"/>
          <w:szCs w:val="28"/>
          <w:lang w:val="en-US" w:eastAsia="zh-CN"/>
        </w:rPr>
        <w:t>与周边环境的防火间距符合</w:t>
      </w:r>
      <w:r>
        <w:rPr>
          <w:rFonts w:hint="default" w:ascii="Times New Roman" w:hAnsi="宋体" w:eastAsia="宋体" w:cs="Times New Roman"/>
          <w:sz w:val="28"/>
          <w:szCs w:val="28"/>
          <w:lang w:val="en-US" w:eastAsia="zh-CN"/>
        </w:rPr>
        <w:t>《</w:t>
      </w:r>
      <w:r>
        <w:rPr>
          <w:rFonts w:hint="eastAsia" w:ascii="Times New Roman" w:hAnsi="宋体" w:eastAsia="宋体" w:cs="Times New Roman"/>
          <w:sz w:val="28"/>
          <w:szCs w:val="28"/>
          <w:lang w:val="en-US" w:eastAsia="zh-CN"/>
        </w:rPr>
        <w:t>建筑设计防火规范</w:t>
      </w:r>
      <w:r>
        <w:rPr>
          <w:rFonts w:hint="default" w:ascii="Times New Roman" w:hAnsi="宋体" w:eastAsia="宋体" w:cs="Times New Roman"/>
          <w:sz w:val="28"/>
          <w:szCs w:val="28"/>
          <w:lang w:val="en-US" w:eastAsia="zh-CN"/>
        </w:rPr>
        <w:t>》（</w:t>
      </w:r>
      <w:r>
        <w:rPr>
          <w:rFonts w:hint="eastAsia" w:ascii="Times New Roman" w:hAnsi="宋体" w:eastAsia="宋体" w:cs="Times New Roman"/>
          <w:sz w:val="28"/>
          <w:szCs w:val="28"/>
          <w:lang w:val="en-US" w:eastAsia="zh-CN"/>
        </w:rPr>
        <w:t>GB 50016-2014[2018年版]</w:t>
      </w:r>
      <w:r>
        <w:rPr>
          <w:rFonts w:hint="default" w:ascii="Times New Roman" w:hAnsi="宋体" w:eastAsia="宋体" w:cs="Times New Roman"/>
          <w:sz w:val="28"/>
          <w:szCs w:val="28"/>
          <w:lang w:val="en-US" w:eastAsia="zh-CN"/>
        </w:rPr>
        <w:t>）</w:t>
      </w:r>
      <w:r>
        <w:rPr>
          <w:rFonts w:hint="eastAsia" w:ascii="Times New Roman" w:hAnsi="宋体" w:eastAsia="宋体" w:cs="Times New Roman"/>
          <w:sz w:val="28"/>
          <w:szCs w:val="28"/>
          <w:lang w:val="en-US" w:eastAsia="zh-CN"/>
        </w:rPr>
        <w:t>及相关规范的要求，一旦发生火灾、爆炸事故可能会</w:t>
      </w:r>
      <w:r>
        <w:rPr>
          <w:rFonts w:hint="eastAsia" w:hAnsi="宋体" w:cs="Times New Roman"/>
          <w:sz w:val="28"/>
          <w:szCs w:val="28"/>
          <w:lang w:val="en-US" w:eastAsia="zh-CN"/>
        </w:rPr>
        <w:t>对道路</w:t>
      </w:r>
      <w:r>
        <w:rPr>
          <w:rFonts w:hint="eastAsia" w:ascii="Times New Roman" w:hAnsi="宋体" w:eastAsia="宋体" w:cs="Times New Roman"/>
          <w:sz w:val="28"/>
          <w:szCs w:val="28"/>
          <w:lang w:val="en-US" w:eastAsia="zh-CN"/>
        </w:rPr>
        <w:t>产生一定影响，但在可控制范围之内，企业应采取相应措施防范事故的发生。</w:t>
      </w:r>
    </w:p>
    <w:p>
      <w:pPr>
        <w:keepNext w:val="0"/>
        <w:keepLines w:val="0"/>
        <w:pageBreakBefore w:val="0"/>
        <w:widowControl w:val="0"/>
        <w:numPr>
          <w:ilvl w:val="2"/>
          <w:numId w:val="0"/>
        </w:numPr>
        <w:kinsoku/>
        <w:wordWrap/>
        <w:overflowPunct/>
        <w:topLinePunct w:val="0"/>
        <w:autoSpaceDE/>
        <w:autoSpaceDN/>
        <w:bidi w:val="0"/>
        <w:adjustRightInd/>
        <w:snapToGrid/>
        <w:spacing w:before="157" w:beforeLines="50" w:beforeAutospacing="0" w:after="157" w:afterLines="50" w:afterAutospacing="0" w:line="360" w:lineRule="auto"/>
        <w:ind w:left="720" w:leftChars="0" w:hanging="720"/>
        <w:jc w:val="left"/>
        <w:textAlignment w:val="auto"/>
        <w:outlineLvl w:val="2"/>
        <w:rPr>
          <w:rFonts w:hint="eastAsia" w:ascii="Times New Roman" w:hAnsi="Times New Roman" w:eastAsia="黑体" w:cs="Times New Roman"/>
          <w:b w:val="0"/>
          <w:bCs/>
          <w:kern w:val="0"/>
          <w:sz w:val="28"/>
          <w:szCs w:val="28"/>
          <w:lang w:val="en-US" w:eastAsia="zh-CN" w:bidi="ar"/>
        </w:rPr>
      </w:pPr>
      <w:r>
        <w:rPr>
          <w:rFonts w:hint="eastAsia" w:ascii="Times New Roman" w:hAnsi="Times New Roman" w:eastAsia="黑体" w:cs="Times New Roman"/>
          <w:b w:val="0"/>
          <w:bCs/>
          <w:kern w:val="0"/>
          <w:sz w:val="28"/>
          <w:szCs w:val="28"/>
          <w:lang w:val="en-US" w:eastAsia="zh-CN" w:bidi="ar"/>
        </w:rPr>
        <w:t>4.4.2 自然条件对生产装置、设施的影响</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自然因素形成的危害或不利影响，一般包括地震、不良地质、雷击、洪水等因素，各种危害因素的危害性各异，其出现和发生的可能性、几率大小不一，危害作用范围及所造成的后果均不相同。</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（1）地震</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地震灾害的特点是突发性强；破坏性大；社会影响大；防御难度大。</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地震灾害分直接灾害和次生灾害。</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直接灾害对企业造成的灾害是地震波引起的强烈震动、地震断层的错动和地面变形等所造成的灾害，主要表现为断裂、隆起、平移或凹陷等形式。这些现象对本企业的建筑物、地面造成破坏，对相关设施如交通、通讯、供水、排水、供电等造成破坏。</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次生灾害是由于地震时酿成的管线破裂，危险物料泄漏，以致酿成重大火灾爆炸、中毒事故，造成人员伤亡，公路等交通中断,影响生产经营和日常生活。</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企业所在地区地震基本烈度为7度，建筑物、设施按7度建筑物设防，符合抗震设防要求。</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（2）地质、水文的影响</w:t>
      </w:r>
    </w:p>
    <w:p>
      <w:pPr>
        <w:ind w:firstLine="560" w:firstLineChars="200"/>
        <w:rPr>
          <w:rFonts w:hint="eastAsia" w:ascii="Times New Roman" w:hAnsi="宋体" w:eastAsia="宋体" w:cs="Times New Roman"/>
          <w:sz w:val="28"/>
          <w:szCs w:val="28"/>
          <w:lang w:val="en-US" w:eastAsia="zh-CN"/>
        </w:rPr>
      </w:pPr>
      <w:r>
        <w:rPr>
          <w:rFonts w:hint="eastAsia" w:hAnsi="宋体" w:cs="Times New Roman"/>
          <w:sz w:val="28"/>
          <w:szCs w:val="28"/>
          <w:lang w:val="en-US" w:eastAsia="zh-CN"/>
        </w:rPr>
        <w:t>黑山鸿泰化工有限公司</w:t>
      </w:r>
      <w:r>
        <w:rPr>
          <w:rFonts w:hint="eastAsia" w:ascii="Times New Roman" w:hAnsi="宋体" w:eastAsia="宋体" w:cs="Times New Roman"/>
          <w:sz w:val="28"/>
          <w:szCs w:val="28"/>
          <w:lang w:val="en-US" w:eastAsia="zh-CN"/>
        </w:rPr>
        <w:t>厂区附近无河流经过，厂址位于不受洪水或内涝威胁的地带，该地区不属泥石流、易塌陷等地质不良地段，地质、水文条件对生产影响较小。</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（3）气象条件对生产影响</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雷电是自然界中的声、光、电现象，它给人类生活和生产活动带来很大的影响。企业所在地雷电次数较多，如果防雷设置不当，可能发生雷电灾害。</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由于雷电具有电流很大、电压很高、冲击性很强的特点，一旦被雷电击中，不但可能损坏有关设备和设施，造成大规模停电，而且还会导致火灾和爆炸，造成人员伤亡事故。</w:t>
      </w:r>
    </w:p>
    <w:p>
      <w:pPr>
        <w:ind w:firstLine="560" w:firstLineChars="200"/>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（4）分析结果</w:t>
      </w:r>
    </w:p>
    <w:p>
      <w:pPr>
        <w:ind w:firstLine="560" w:firstLineChars="200"/>
        <w:rPr>
          <w:rFonts w:hint="default" w:ascii="Times New Roman" w:hAnsi="宋体" w:eastAsia="宋体" w:cs="Times New Roman"/>
          <w:sz w:val="28"/>
          <w:szCs w:val="28"/>
          <w:lang w:val="en-US" w:eastAsia="zh-CN"/>
        </w:rPr>
      </w:pPr>
      <w:r>
        <w:rPr>
          <w:rFonts w:hint="eastAsia" w:ascii="Times New Roman" w:hAnsi="宋体" w:eastAsia="宋体" w:cs="Times New Roman"/>
          <w:sz w:val="28"/>
          <w:szCs w:val="28"/>
          <w:lang w:val="en-US" w:eastAsia="zh-CN"/>
        </w:rPr>
        <w:t>综上所述，</w:t>
      </w:r>
      <w:r>
        <w:rPr>
          <w:rFonts w:hint="eastAsia" w:hAnsi="宋体" w:cs="Times New Roman"/>
          <w:sz w:val="28"/>
          <w:szCs w:val="28"/>
          <w:lang w:val="en-US" w:eastAsia="zh-CN"/>
        </w:rPr>
        <w:t>黑山鸿泰化工有限公司</w:t>
      </w:r>
      <w:r>
        <w:rPr>
          <w:rFonts w:hint="eastAsia" w:ascii="Times New Roman" w:hAnsi="宋体" w:eastAsia="宋体" w:cs="Times New Roman"/>
          <w:sz w:val="28"/>
          <w:szCs w:val="28"/>
          <w:lang w:val="en-US" w:eastAsia="zh-CN"/>
        </w:rPr>
        <w:t>所在地自然条件会对生产活动、生产设施产生一定影响。当采取有效的对策、精心操作、加强管理等措施，这些不利影响是可以接受的。但应对雷、雨天气和地震等自然灾害采取切实有效的安全防范措施，以将其危害和可能造成的损失降到最低程度，将直接灾害及次生灾害降低到最小程度</w:t>
      </w:r>
      <w:r>
        <w:rPr>
          <w:rFonts w:hint="default" w:ascii="Times New Roman" w:hAnsi="宋体" w:eastAsia="宋体" w:cs="Times New Roman"/>
          <w:sz w:val="28"/>
          <w:szCs w:val="28"/>
          <w:lang w:val="en-US" w:eastAsia="zh-CN"/>
        </w:rPr>
        <w:t>。</w:t>
      </w: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95" w:name="_Toc20634_WPSOffice_Level1"/>
      <w:bookmarkStart w:id="96" w:name="_Toc4689"/>
      <w:bookmarkStart w:id="97" w:name="_Toc2885_WPSOffice_Level1"/>
      <w:bookmarkStart w:id="98" w:name="_Toc10092_WPSOffice_Level1"/>
      <w:bookmarkStart w:id="99" w:name="_Toc532976999"/>
      <w:r>
        <w:rPr>
          <w:rFonts w:hint="eastAsia" w:ascii="Times New Roman" w:hAnsi="Times New Roman" w:eastAsia="黑体" w:cs="Times New Roman"/>
          <w:b w:val="0"/>
          <w:bCs/>
          <w:sz w:val="32"/>
          <w:szCs w:val="32"/>
        </w:rPr>
        <w:t>定性、定量评价结果</w:t>
      </w:r>
      <w:bookmarkEnd w:id="95"/>
      <w:bookmarkEnd w:id="96"/>
      <w:bookmarkEnd w:id="97"/>
      <w:bookmarkEnd w:id="98"/>
      <w:bookmarkEnd w:id="99"/>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00" w:name="_Toc202240574"/>
      <w:bookmarkStart w:id="101" w:name="_Toc6752_WPSOffice_Level2"/>
      <w:bookmarkStart w:id="102" w:name="_Toc532977000"/>
      <w:bookmarkStart w:id="103" w:name="_Toc294_WPSOffice_Level2"/>
      <w:bookmarkStart w:id="104" w:name="_Toc429"/>
      <w:r>
        <w:rPr>
          <w:rFonts w:hint="eastAsia" w:ascii="楷体" w:hAnsi="楷体" w:eastAsia="楷体" w:cs="楷体"/>
          <w:b w:val="0"/>
          <w:bCs/>
          <w:kern w:val="2"/>
          <w:sz w:val="32"/>
          <w:szCs w:val="32"/>
          <w:lang w:val="en-US" w:eastAsia="zh-CN"/>
        </w:rPr>
        <w:t>安全生产条件的分析</w:t>
      </w:r>
      <w:bookmarkEnd w:id="100"/>
      <w:bookmarkEnd w:id="101"/>
      <w:bookmarkEnd w:id="102"/>
      <w:bookmarkEnd w:id="103"/>
      <w:bookmarkEnd w:id="104"/>
    </w:p>
    <w:p>
      <w:pPr>
        <w:keepNext w:val="0"/>
        <w:keepLines w:val="0"/>
        <w:pageBreakBefore w:val="0"/>
        <w:widowControl w:val="0"/>
        <w:numPr>
          <w:ilvl w:val="2"/>
          <w:numId w:val="0"/>
        </w:numPr>
        <w:kinsoku/>
        <w:wordWrap/>
        <w:overflowPunct/>
        <w:topLinePunct w:val="0"/>
        <w:autoSpaceDE/>
        <w:autoSpaceDN/>
        <w:bidi w:val="0"/>
        <w:adjustRightInd/>
        <w:snapToGrid/>
        <w:spacing w:before="157" w:beforeLines="50" w:beforeAutospacing="0" w:after="157" w:afterLines="50" w:afterAutospacing="0" w:line="360" w:lineRule="auto"/>
        <w:ind w:left="720" w:leftChars="0" w:hanging="720"/>
        <w:jc w:val="left"/>
        <w:textAlignment w:val="auto"/>
        <w:outlineLvl w:val="2"/>
        <w:rPr>
          <w:rFonts w:hint="eastAsia" w:ascii="Times New Roman" w:hAnsi="Times New Roman" w:eastAsia="黑体" w:cs="Times New Roman"/>
          <w:b w:val="0"/>
          <w:bCs/>
          <w:kern w:val="0"/>
          <w:sz w:val="28"/>
          <w:szCs w:val="28"/>
          <w:lang w:val="en-US" w:eastAsia="zh-CN" w:bidi="ar"/>
        </w:rPr>
      </w:pPr>
      <w:r>
        <w:rPr>
          <w:rFonts w:hint="eastAsia" w:ascii="Times New Roman" w:hAnsi="Times New Roman" w:eastAsia="黑体" w:cs="Times New Roman"/>
          <w:b w:val="0"/>
          <w:bCs/>
          <w:kern w:val="0"/>
          <w:sz w:val="28"/>
          <w:szCs w:val="28"/>
          <w:lang w:val="en-US" w:eastAsia="zh-CN" w:bidi="ar"/>
        </w:rPr>
        <w:t>5.1.1 管理层安全条件分析</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（1）安全生产责任制情况</w:t>
      </w:r>
    </w:p>
    <w:p>
      <w:pPr>
        <w:adjustRightInd w:val="0"/>
        <w:spacing w:line="360" w:lineRule="auto"/>
        <w:ind w:firstLine="560" w:firstLineChars="200"/>
        <w:jc w:val="left"/>
        <w:rPr>
          <w:rFonts w:hint="eastAsia" w:ascii="Times New Roman" w:hAnsi="Times New Roman" w:eastAsia="宋体" w:cs="Times New Roman"/>
          <w:color w:val="auto"/>
          <w:sz w:val="28"/>
          <w:szCs w:val="28"/>
          <w:lang w:eastAsia="zh-CN"/>
        </w:rPr>
      </w:pP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建立了健全的安全生产责任制</w:t>
      </w:r>
      <w:r>
        <w:rPr>
          <w:rFonts w:hint="eastAsia" w:ascii="Times New Roman" w:hAnsi="Times New Roman" w:eastAsia="宋体" w:cs="Times New Roman"/>
          <w:color w:val="auto"/>
          <w:sz w:val="28"/>
          <w:szCs w:val="28"/>
        </w:rPr>
        <w:t>，主要</w:t>
      </w:r>
      <w:r>
        <w:rPr>
          <w:rFonts w:hint="eastAsia" w:ascii="Times New Roman" w:hAnsi="Times New Roman" w:eastAsia="宋体" w:cs="Times New Roman"/>
          <w:color w:val="auto"/>
          <w:sz w:val="28"/>
          <w:szCs w:val="28"/>
          <w:lang w:eastAsia="zh-CN"/>
        </w:rPr>
        <w:t>包括：</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公司主要负责人安全生产职责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分管安全生产的副总经理安全生产职责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各部门安全职责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全员安全生产职责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车间主任安全生产职责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车间安全员安全生产职责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技术员安全职责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设备管理员安全生产责任</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维修工安全职责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班组长安全职责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生产车间岗位操作人员安全职责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铲车司机安全职责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水解岗位安全职责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司炉岗位安全职责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粉碎岗位安全职责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精醛岗位安全职责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排渣岗位安全职责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电气岗位安全职责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财会安全职责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焊工安全职责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化验员安全职责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保安员安全职责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保洁员安全职责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铲车司机安全职责</w:t>
      </w:r>
    </w:p>
    <w:p>
      <w:pPr>
        <w:widowControl w:val="0"/>
        <w:numPr>
          <w:ilvl w:val="0"/>
          <w:numId w:val="11"/>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食堂</w:t>
      </w:r>
      <w:r>
        <w:rPr>
          <w:rFonts w:hint="eastAsia" w:cs="Times New Roman"/>
          <w:color w:val="auto"/>
          <w:kern w:val="2"/>
          <w:sz w:val="28"/>
          <w:szCs w:val="28"/>
          <w:lang w:val="en-US" w:eastAsia="zh-CN" w:bidi="ar-SA"/>
        </w:rPr>
        <w:t>人员</w:t>
      </w:r>
      <w:r>
        <w:rPr>
          <w:rFonts w:hint="eastAsia" w:ascii="Times New Roman" w:hAnsi="Times New Roman" w:eastAsia="宋体" w:cs="Times New Roman"/>
          <w:color w:val="auto"/>
          <w:kern w:val="2"/>
          <w:sz w:val="28"/>
          <w:szCs w:val="28"/>
          <w:lang w:val="en-US" w:eastAsia="zh-CN" w:bidi="ar-SA"/>
        </w:rPr>
        <w:t>安全职责</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生产单位的主要负责人对本单位的安全生产工作全面负责，</w:t>
      </w:r>
      <w:r>
        <w:rPr>
          <w:rFonts w:hint="eastAsia" w:ascii="Times New Roman" w:hAnsi="Times New Roman" w:eastAsia="宋体" w:cs="Times New Roman"/>
          <w:color w:val="auto"/>
          <w:sz w:val="28"/>
          <w:szCs w:val="28"/>
          <w:lang w:eastAsia="zh-CN"/>
        </w:rPr>
        <w:t>各</w:t>
      </w:r>
      <w:r>
        <w:rPr>
          <w:rFonts w:hint="eastAsia" w:ascii="Times New Roman" w:hAnsi="Times New Roman" w:eastAsia="宋体" w:cs="Times New Roman"/>
          <w:color w:val="auto"/>
          <w:sz w:val="28"/>
          <w:szCs w:val="28"/>
        </w:rPr>
        <w:t>岗位负责人对本岗位工作全面负责，执行情况良好。</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（2）安全生产管理制度及其持续改进情况</w:t>
      </w:r>
    </w:p>
    <w:p>
      <w:pPr>
        <w:adjustRightInd w:val="0"/>
        <w:spacing w:line="360" w:lineRule="auto"/>
        <w:ind w:firstLine="560" w:firstLineChars="200"/>
        <w:jc w:val="left"/>
        <w:rPr>
          <w:rFonts w:hint="eastAsia" w:ascii="Times New Roman" w:hAnsi="Times New Roman" w:eastAsia="宋体" w:cs="Times New Roman"/>
          <w:color w:val="auto"/>
          <w:sz w:val="28"/>
          <w:szCs w:val="28"/>
          <w:lang w:eastAsia="zh-CN"/>
        </w:rPr>
      </w:pP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rPr>
        <w:t>制定了</w:t>
      </w:r>
      <w:r>
        <w:rPr>
          <w:rFonts w:hint="eastAsia" w:ascii="Times New Roman" w:hAnsi="Times New Roman" w:eastAsia="宋体" w:cs="Times New Roman"/>
          <w:color w:val="auto"/>
          <w:sz w:val="28"/>
          <w:szCs w:val="28"/>
          <w:lang w:eastAsia="zh-CN"/>
        </w:rPr>
        <w:t>详尽的</w:t>
      </w:r>
      <w:r>
        <w:rPr>
          <w:rFonts w:hint="eastAsia" w:ascii="Times New Roman" w:hAnsi="Times New Roman" w:eastAsia="宋体" w:cs="Times New Roman"/>
          <w:color w:val="auto"/>
          <w:sz w:val="28"/>
          <w:szCs w:val="28"/>
        </w:rPr>
        <w:t>安全管理制度，</w:t>
      </w:r>
      <w:r>
        <w:rPr>
          <w:rFonts w:hint="eastAsia" w:ascii="Times New Roman" w:hAnsi="Times New Roman" w:eastAsia="宋体" w:cs="Times New Roman"/>
          <w:color w:val="auto"/>
          <w:sz w:val="28"/>
          <w:szCs w:val="28"/>
          <w:lang w:eastAsia="zh-CN"/>
        </w:rPr>
        <w:t>同时</w:t>
      </w:r>
      <w:r>
        <w:rPr>
          <w:rFonts w:hint="eastAsia" w:ascii="Times New Roman" w:hAnsi="Times New Roman" w:eastAsia="宋体" w:cs="Times New Roman"/>
          <w:color w:val="auto"/>
          <w:sz w:val="28"/>
          <w:szCs w:val="28"/>
        </w:rPr>
        <w:t>根据现行法律法规和辽宁省安全生产条例进行补充和修</w:t>
      </w:r>
      <w:r>
        <w:rPr>
          <w:rFonts w:hint="eastAsia" w:ascii="Times New Roman" w:hAnsi="Times New Roman" w:eastAsia="宋体" w:cs="Times New Roman"/>
          <w:color w:val="auto"/>
          <w:sz w:val="28"/>
          <w:szCs w:val="28"/>
          <w:lang w:eastAsia="zh-CN"/>
        </w:rPr>
        <w:t>订</w:t>
      </w:r>
      <w:r>
        <w:rPr>
          <w:rFonts w:hint="eastAsia" w:ascii="Times New Roman" w:hAnsi="Times New Roman" w:eastAsia="宋体" w:cs="Times New Roman"/>
          <w:color w:val="auto"/>
          <w:sz w:val="28"/>
          <w:szCs w:val="28"/>
        </w:rPr>
        <w:t>，主要</w:t>
      </w:r>
      <w:r>
        <w:rPr>
          <w:rFonts w:hint="eastAsia" w:ascii="Times New Roman" w:hAnsi="Times New Roman" w:eastAsia="宋体" w:cs="Times New Roman"/>
          <w:color w:val="auto"/>
          <w:sz w:val="28"/>
          <w:szCs w:val="28"/>
          <w:lang w:eastAsia="zh-CN"/>
        </w:rPr>
        <w:t>包括：</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安全投入保障制度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安全生产法律法规获取及管理</w:t>
      </w:r>
      <w:r>
        <w:rPr>
          <w:rFonts w:hint="eastAsia" w:cs="Times New Roman"/>
          <w:color w:val="auto"/>
          <w:kern w:val="2"/>
          <w:sz w:val="28"/>
          <w:szCs w:val="28"/>
          <w:lang w:val="en-US" w:eastAsia="zh-CN" w:bidi="ar-SA"/>
        </w:rPr>
        <w:t>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安全生产责任制度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安全培训教育制度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安全检查和隐患整改制度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安全检维修管理制度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安全作业管理制度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危险化学品安全管理制度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生产设施安全管理制度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劳动防护用品(具)和保健品发放管理规定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事故管理制度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职业卫生管理制度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仓库、罐区安全管理制度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安全生产会议管理制度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易制毒化学品安全管理制度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安全生产奖惩管理制度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防火、防爆、防尘、防毒管理制度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消防管理制度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禁火、禁烟管理制度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特种作业人员管理制度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安全生产责任制定期考核制度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班组安全活动制度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安全管理绩效考核制度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变更管理制度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供应商管理制度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动火作业安全管理规定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临时用电安全管理规定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承包商管理制度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生产设施拆除和报废制度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关键装置、重点部位安全检查书面报告制度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关键装置、重点部位安全管理制度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监视和测量设备管理制度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作业场所职业危害因素检测制度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关于安全生产规章制度和安全操作规程的评审和修订的有关规定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职业病危害告知制度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职业卫生与职业病预防管理制度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外来人员管理制度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危险化学品运输、装卸安全管理制度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危险化学品的储存和出入库安全管理</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吊装作业安全管理规定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高处作业安全管理规定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动土作业安全管理规定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断路作业安全管理规定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受限空间作业安全管理规定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抽堵盲板作业安全管理规定</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反“三违”管理制度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异常工况管理制度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重大隐患排查治理“双报告”制度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厂内交通管理制度</w:t>
      </w:r>
    </w:p>
    <w:p>
      <w:pPr>
        <w:widowControl w:val="0"/>
        <w:numPr>
          <w:ilvl w:val="0"/>
          <w:numId w:val="12"/>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安全生产信息管理制度</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（3）安全技术规程和作业安全操作规程的制定和执行情况</w:t>
      </w:r>
    </w:p>
    <w:p>
      <w:pPr>
        <w:adjustRightInd w:val="0"/>
        <w:spacing w:line="360" w:lineRule="auto"/>
        <w:ind w:firstLine="560" w:firstLineChars="200"/>
        <w:jc w:val="left"/>
        <w:rPr>
          <w:rFonts w:hint="eastAsia" w:ascii="Times New Roman" w:hAnsi="Times New Roman" w:eastAsia="宋体" w:cs="Times New Roman"/>
          <w:color w:val="auto"/>
          <w:sz w:val="28"/>
          <w:szCs w:val="28"/>
          <w:lang w:eastAsia="zh-CN"/>
        </w:rPr>
      </w:pP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rPr>
        <w:t>制定了较为完善的岗位操作规程并严格执行</w:t>
      </w:r>
      <w:r>
        <w:rPr>
          <w:rFonts w:hint="eastAsia" w:ascii="Times New Roman" w:hAnsi="Times New Roman" w:eastAsia="宋体" w:cs="Times New Roman"/>
          <w:color w:val="auto"/>
          <w:sz w:val="28"/>
          <w:szCs w:val="28"/>
          <w:lang w:eastAsia="zh-CN"/>
        </w:rPr>
        <w:t>，主要包括：</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电气岗位安全操作规程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粉料岗位安全操作规程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精醛岗位安全操作规程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排渣岗位安全操作规程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水解岗位安全操作规程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司炉岗位安全操作规程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空压机安全操作规程</w:t>
      </w:r>
    </w:p>
    <w:p>
      <w:pPr>
        <w:widowControl w:val="0"/>
        <w:numPr>
          <w:ilvl w:val="0"/>
          <w:numId w:val="13"/>
        </w:numPr>
        <w:ind w:left="0" w:leftChars="0" w:firstLine="560" w:firstLineChars="200"/>
        <w:jc w:val="both"/>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可燃气体报警器操作规程</w:t>
      </w:r>
    </w:p>
    <w:p>
      <w:pPr>
        <w:adjustRightInd w:val="0"/>
        <w:spacing w:line="360" w:lineRule="auto"/>
        <w:ind w:firstLine="560" w:firstLineChars="200"/>
        <w:jc w:val="left"/>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（4）安全生产管理机构的设置</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rPr>
        <w:t>专职安全生产管理人员</w:t>
      </w:r>
      <w:r>
        <w:rPr>
          <w:rFonts w:hint="eastAsia" w:ascii="Times New Roman" w:hAnsi="Times New Roman" w:eastAsia="宋体" w:cs="Times New Roman"/>
          <w:color w:val="auto"/>
          <w:sz w:val="28"/>
          <w:szCs w:val="28"/>
          <w:lang w:eastAsia="zh-CN"/>
        </w:rPr>
        <w:t>和</w:t>
      </w:r>
      <w:r>
        <w:rPr>
          <w:rFonts w:hint="eastAsia" w:ascii="Times New Roman" w:hAnsi="Times New Roman" w:eastAsia="宋体" w:cs="Times New Roman"/>
          <w:color w:val="auto"/>
          <w:sz w:val="28"/>
          <w:szCs w:val="28"/>
        </w:rPr>
        <w:t>的配备情况</w:t>
      </w:r>
    </w:p>
    <w:p>
      <w:pPr>
        <w:adjustRightInd w:val="0"/>
        <w:spacing w:line="360" w:lineRule="auto"/>
        <w:ind w:firstLine="560" w:firstLineChars="200"/>
        <w:jc w:val="left"/>
        <w:rPr>
          <w:rFonts w:hint="eastAsia" w:ascii="Times New Roman" w:hAnsi="Times New Roman" w:eastAsia="宋体" w:cs="Times New Roman"/>
          <w:color w:val="auto"/>
          <w:sz w:val="28"/>
          <w:szCs w:val="28"/>
          <w:lang w:val="en-US" w:eastAsia="zh-CN"/>
        </w:rPr>
      </w:pPr>
      <w:r>
        <w:rPr>
          <w:rFonts w:hint="eastAsia" w:cs="Times New Roman"/>
          <w:color w:val="auto"/>
          <w:sz w:val="28"/>
          <w:szCs w:val="28"/>
          <w:lang w:eastAsia="zh-CN"/>
        </w:rPr>
        <w:t>该企业未设置</w:t>
      </w:r>
      <w:r>
        <w:rPr>
          <w:rFonts w:hint="eastAsia" w:ascii="Times New Roman" w:hAnsi="Times New Roman" w:eastAsia="宋体" w:cs="Times New Roman"/>
          <w:color w:val="auto"/>
          <w:sz w:val="28"/>
          <w:szCs w:val="28"/>
          <w:lang w:eastAsia="zh-CN"/>
        </w:rPr>
        <w:t>安全管理机构</w:t>
      </w:r>
      <w:r>
        <w:rPr>
          <w:rFonts w:hint="eastAsia" w:ascii="Times New Roman" w:hAnsi="Times New Roman" w:eastAsia="宋体" w:cs="Times New Roman"/>
          <w:color w:val="auto"/>
          <w:sz w:val="28"/>
          <w:szCs w:val="28"/>
        </w:rPr>
        <w:t>。根据《国务院关于进一步加强企业安全生产工作的通知》的实施意见（安监总管三</w:t>
      </w:r>
      <w:r>
        <w:rPr>
          <w:rFonts w:hint="eastAsia" w:ascii="Times New Roman" w:hAnsi="Times New Roman" w:eastAsia="宋体" w:cs="Times New Roman"/>
          <w:color w:val="auto"/>
          <w:sz w:val="28"/>
          <w:szCs w:val="28"/>
          <w:lang w:val="en-US" w:eastAsia="zh-CN"/>
        </w:rPr>
        <w:t>[</w:t>
      </w:r>
      <w:r>
        <w:rPr>
          <w:rFonts w:hint="eastAsia" w:ascii="Times New Roman" w:hAnsi="Times New Roman" w:eastAsia="宋体" w:cs="Times New Roman"/>
          <w:color w:val="auto"/>
          <w:sz w:val="28"/>
          <w:szCs w:val="28"/>
        </w:rPr>
        <w:t>2010</w:t>
      </w:r>
      <w:r>
        <w:rPr>
          <w:rFonts w:hint="eastAsia" w:ascii="Times New Roman" w:hAnsi="Times New Roman" w:eastAsia="宋体" w:cs="Times New Roman"/>
          <w:color w:val="auto"/>
          <w:sz w:val="28"/>
          <w:szCs w:val="28"/>
          <w:lang w:val="en-US" w:eastAsia="zh-CN"/>
        </w:rPr>
        <w:t>]</w:t>
      </w:r>
      <w:r>
        <w:rPr>
          <w:rFonts w:hint="eastAsia" w:ascii="Times New Roman" w:hAnsi="Times New Roman" w:eastAsia="宋体" w:cs="Times New Roman"/>
          <w:color w:val="auto"/>
          <w:sz w:val="28"/>
          <w:szCs w:val="28"/>
        </w:rPr>
        <w:t>186号），专职安全生产管理人员应不少于企业员工总数的2%（不足50人的企业应至少配备1人）。</w:t>
      </w: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rPr>
        <w:t>设专职安全</w:t>
      </w:r>
      <w:r>
        <w:rPr>
          <w:rFonts w:hint="eastAsia" w:ascii="Times New Roman" w:hAnsi="Times New Roman" w:eastAsia="宋体" w:cs="Times New Roman"/>
          <w:color w:val="auto"/>
          <w:sz w:val="28"/>
          <w:szCs w:val="28"/>
          <w:lang w:eastAsia="zh-CN"/>
        </w:rPr>
        <w:t>管理人</w:t>
      </w:r>
      <w:r>
        <w:rPr>
          <w:rFonts w:hint="eastAsia" w:ascii="Times New Roman" w:hAnsi="Times New Roman" w:eastAsia="宋体" w:cs="Times New Roman"/>
          <w:color w:val="auto"/>
          <w:sz w:val="28"/>
          <w:szCs w:val="28"/>
        </w:rPr>
        <w:t>员</w:t>
      </w:r>
      <w:r>
        <w:rPr>
          <w:rFonts w:hint="eastAsia" w:ascii="Times New Roman" w:hAnsi="Times New Roman" w:eastAsia="宋体" w:cs="Times New Roman"/>
          <w:color w:val="auto"/>
          <w:sz w:val="28"/>
          <w:szCs w:val="28"/>
          <w:lang w:val="en-US" w:eastAsia="zh-CN"/>
        </w:rPr>
        <w:t>1</w:t>
      </w:r>
      <w:r>
        <w:rPr>
          <w:rFonts w:hint="eastAsia" w:ascii="Times New Roman" w:hAnsi="Times New Roman" w:eastAsia="宋体" w:cs="Times New Roman"/>
          <w:color w:val="auto"/>
          <w:sz w:val="28"/>
          <w:szCs w:val="28"/>
        </w:rPr>
        <w:t>人，负责具体的日常安全管理工作，并参与企业的安全生产管理制度和安全技术操作规程的制定和修改</w:t>
      </w:r>
      <w:r>
        <w:rPr>
          <w:rFonts w:hint="eastAsia" w:ascii="Times New Roman" w:hAnsi="Times New Roman" w:eastAsia="宋体" w:cs="Times New Roman"/>
          <w:color w:val="auto"/>
          <w:sz w:val="28"/>
          <w:szCs w:val="28"/>
          <w:lang w:eastAsia="zh-CN"/>
        </w:rPr>
        <w:t>等</w:t>
      </w:r>
      <w:r>
        <w:rPr>
          <w:rFonts w:hint="eastAsia" w:ascii="Times New Roman" w:hAnsi="Times New Roman" w:eastAsia="宋体" w:cs="Times New Roman"/>
          <w:color w:val="auto"/>
          <w:sz w:val="28"/>
          <w:szCs w:val="28"/>
        </w:rPr>
        <w:t>工作</w:t>
      </w:r>
      <w:r>
        <w:rPr>
          <w:rFonts w:hint="eastAsia" w:ascii="Times New Roman" w:hAnsi="Times New Roman" w:eastAsia="宋体" w:cs="Times New Roman"/>
          <w:color w:val="auto"/>
          <w:sz w:val="28"/>
          <w:szCs w:val="28"/>
          <w:lang w:val="en-US" w:eastAsia="zh-CN"/>
        </w:rPr>
        <w:t>。</w:t>
      </w:r>
    </w:p>
    <w:p>
      <w:pPr>
        <w:adjustRightInd w:val="0"/>
        <w:spacing w:line="360" w:lineRule="auto"/>
        <w:ind w:firstLine="560" w:firstLineChars="200"/>
        <w:jc w:val="left"/>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主要负责人</w:t>
      </w:r>
      <w:r>
        <w:rPr>
          <w:rFonts w:hint="eastAsia" w:cs="Times New Roman"/>
          <w:color w:val="auto"/>
          <w:sz w:val="28"/>
          <w:szCs w:val="28"/>
          <w:lang w:val="en-US" w:eastAsia="zh-CN"/>
        </w:rPr>
        <w:t>蔡红</w:t>
      </w:r>
      <w:r>
        <w:rPr>
          <w:rFonts w:hint="eastAsia" w:ascii="Times New Roman" w:hAnsi="Times New Roman" w:eastAsia="宋体" w:cs="Times New Roman"/>
          <w:color w:val="auto"/>
          <w:sz w:val="28"/>
          <w:szCs w:val="28"/>
          <w:lang w:val="en-US" w:eastAsia="zh-CN"/>
        </w:rPr>
        <w:t>具有</w:t>
      </w:r>
      <w:r>
        <w:rPr>
          <w:rFonts w:hint="eastAsia" w:ascii="Times New Roman" w:hAnsi="Times New Roman" w:eastAsia="宋体" w:cs="Times New Roman"/>
          <w:color w:val="auto"/>
          <w:sz w:val="28"/>
          <w:szCs w:val="28"/>
        </w:rPr>
        <w:t>安全资格证</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具有化工专业学历，全面负责厂内生产和技术方面工作。</w:t>
      </w:r>
    </w:p>
    <w:p>
      <w:pPr>
        <w:adjustRightInd w:val="0"/>
        <w:spacing w:line="360" w:lineRule="auto"/>
        <w:ind w:firstLine="560" w:firstLineChars="200"/>
        <w:jc w:val="left"/>
        <w:rPr>
          <w:rFonts w:hint="eastAsia"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（5）主要负责人、安全管理人员</w:t>
      </w:r>
      <w:r>
        <w:rPr>
          <w:rFonts w:hint="eastAsia" w:ascii="Times New Roman" w:hAnsi="Times New Roman" w:eastAsia="宋体" w:cs="Times New Roman"/>
          <w:color w:val="000000" w:themeColor="text1"/>
          <w:sz w:val="28"/>
          <w:szCs w:val="28"/>
          <w:lang w:eastAsia="zh-CN"/>
          <w14:textFill>
            <w14:solidFill>
              <w14:schemeClr w14:val="tx1"/>
            </w14:solidFill>
          </w14:textFill>
        </w:rPr>
        <w:t>及</w:t>
      </w:r>
      <w:r>
        <w:rPr>
          <w:rFonts w:hint="eastAsia" w:ascii="Times New Roman" w:hAnsi="Times New Roman" w:eastAsia="宋体" w:cs="Times New Roman"/>
          <w:color w:val="000000" w:themeColor="text1"/>
          <w:sz w:val="28"/>
          <w:szCs w:val="28"/>
          <w14:textFill>
            <w14:solidFill>
              <w14:schemeClr w14:val="tx1"/>
            </w14:solidFill>
          </w14:textFill>
        </w:rPr>
        <w:t>其他管理人员安全生产知识和管理能力</w:t>
      </w:r>
    </w:p>
    <w:p>
      <w:pPr>
        <w:adjustRightInd w:val="0"/>
        <w:spacing w:line="360" w:lineRule="auto"/>
        <w:ind w:firstLine="560" w:firstLineChars="200"/>
        <w:jc w:val="left"/>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rPr>
        <w:t>主要负责人</w:t>
      </w:r>
      <w:r>
        <w:rPr>
          <w:rFonts w:hint="eastAsia" w:cs="Times New Roman"/>
          <w:color w:val="auto"/>
          <w:sz w:val="28"/>
          <w:szCs w:val="28"/>
          <w:lang w:val="en-US" w:eastAsia="zh-CN"/>
        </w:rPr>
        <w:t>蔡红</w:t>
      </w:r>
      <w:r>
        <w:rPr>
          <w:rFonts w:hint="eastAsia" w:ascii="Times New Roman" w:hAnsi="Times New Roman" w:eastAsia="宋体" w:cs="Times New Roman"/>
          <w:color w:val="auto"/>
          <w:sz w:val="28"/>
          <w:szCs w:val="28"/>
        </w:rPr>
        <w:t>经过</w:t>
      </w:r>
      <w:r>
        <w:rPr>
          <w:rFonts w:hint="eastAsia" w:cs="Times New Roman"/>
          <w:color w:val="auto"/>
          <w:sz w:val="28"/>
          <w:szCs w:val="28"/>
          <w:lang w:val="en-US" w:eastAsia="zh-CN"/>
        </w:rPr>
        <w:t>锦州市</w:t>
      </w:r>
      <w:r>
        <w:rPr>
          <w:rFonts w:hint="eastAsia" w:ascii="Times New Roman" w:hAnsi="Times New Roman" w:eastAsia="宋体" w:cs="Times New Roman"/>
          <w:color w:val="auto"/>
          <w:sz w:val="28"/>
          <w:szCs w:val="28"/>
          <w:lang w:eastAsia="zh-CN"/>
        </w:rPr>
        <w:t>应急管理局组织的安全</w:t>
      </w:r>
      <w:r>
        <w:rPr>
          <w:rFonts w:hint="eastAsia" w:ascii="Times New Roman" w:hAnsi="Times New Roman" w:eastAsia="宋体" w:cs="Times New Roman"/>
          <w:color w:val="auto"/>
          <w:sz w:val="28"/>
          <w:szCs w:val="28"/>
        </w:rPr>
        <w:t>培训并考核合格</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rPr>
        <w:t>取得了安全资格证</w:t>
      </w:r>
      <w:r>
        <w:rPr>
          <w:rFonts w:hint="eastAsia" w:ascii="Times New Roman" w:hAnsi="Times New Roman" w:eastAsia="宋体" w:cs="Times New Roman"/>
          <w:color w:val="auto"/>
          <w:sz w:val="28"/>
          <w:szCs w:val="28"/>
          <w:lang w:eastAsia="zh-CN"/>
        </w:rPr>
        <w:t>，专职</w:t>
      </w:r>
      <w:r>
        <w:rPr>
          <w:rFonts w:hint="eastAsia" w:ascii="Times New Roman" w:hAnsi="Times New Roman" w:eastAsia="宋体" w:cs="Times New Roman"/>
          <w:color w:val="auto"/>
          <w:sz w:val="28"/>
          <w:szCs w:val="28"/>
        </w:rPr>
        <w:t>安全管理人员</w:t>
      </w:r>
      <w:r>
        <w:rPr>
          <w:rFonts w:hint="eastAsia" w:cs="Times New Roman"/>
          <w:color w:val="auto"/>
          <w:sz w:val="28"/>
          <w:szCs w:val="28"/>
          <w:lang w:eastAsia="zh-CN"/>
        </w:rPr>
        <w:t>蔡天广</w:t>
      </w:r>
      <w:r>
        <w:rPr>
          <w:rFonts w:hint="eastAsia" w:ascii="Times New Roman" w:hAnsi="Times New Roman" w:eastAsia="宋体" w:cs="Times New Roman"/>
          <w:color w:val="auto"/>
          <w:sz w:val="28"/>
          <w:szCs w:val="28"/>
          <w:lang w:eastAsia="zh-CN"/>
        </w:rPr>
        <w:t>经过</w:t>
      </w:r>
      <w:r>
        <w:rPr>
          <w:rFonts w:hint="eastAsia" w:cs="Times New Roman"/>
          <w:color w:val="auto"/>
          <w:sz w:val="28"/>
          <w:szCs w:val="28"/>
          <w:lang w:val="en-US" w:eastAsia="zh-CN"/>
        </w:rPr>
        <w:t>锦州</w:t>
      </w:r>
      <w:r>
        <w:rPr>
          <w:rFonts w:hint="eastAsia" w:ascii="Times New Roman" w:hAnsi="Times New Roman" w:eastAsia="宋体" w:cs="Times New Roman"/>
          <w:color w:val="auto"/>
          <w:sz w:val="28"/>
          <w:szCs w:val="28"/>
          <w:lang w:eastAsia="zh-CN"/>
        </w:rPr>
        <w:t>市应急管理局组织的安全</w:t>
      </w:r>
      <w:r>
        <w:rPr>
          <w:rFonts w:hint="eastAsia" w:ascii="Times New Roman" w:hAnsi="Times New Roman" w:eastAsia="宋体" w:cs="Times New Roman"/>
          <w:color w:val="auto"/>
          <w:sz w:val="28"/>
          <w:szCs w:val="28"/>
        </w:rPr>
        <w:t>培训并考核合格</w:t>
      </w:r>
      <w:r>
        <w:rPr>
          <w:rFonts w:hint="eastAsia" w:cs="Times New Roman"/>
          <w:color w:val="auto"/>
          <w:sz w:val="28"/>
          <w:szCs w:val="28"/>
          <w:lang w:eastAsia="zh-CN"/>
        </w:rPr>
        <w:t>。</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（6）特种作业人员情况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cs="Times New Roman"/>
          <w:color w:val="auto"/>
          <w:sz w:val="28"/>
          <w:szCs w:val="28"/>
          <w:lang w:eastAsia="zh-CN"/>
        </w:rPr>
        <w:t>该企业涉及的</w:t>
      </w:r>
      <w:r>
        <w:rPr>
          <w:rFonts w:hint="eastAsia" w:ascii="Times New Roman" w:hAnsi="Times New Roman" w:eastAsia="宋体" w:cs="Times New Roman"/>
          <w:color w:val="auto"/>
          <w:sz w:val="28"/>
          <w:szCs w:val="28"/>
          <w:lang w:eastAsia="zh-CN"/>
        </w:rPr>
        <w:t>焊接工、电工和锅炉工均取得了特种作业人员资格证。</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（7）安全生产投入情况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auto"/>
          <w:sz w:val="28"/>
          <w:szCs w:val="28"/>
          <w:lang w:eastAsia="zh-CN"/>
        </w:rPr>
      </w:pP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lang w:eastAsia="zh-CN"/>
        </w:rPr>
        <w:t>安全生产费用投入与提取符合《企业安全生产费用提取和使用管理办法》第八条要求：危险品生产与储存企业以上年度实际营业收入为计提依据，营业收入不超过1000万元的，按照4</w:t>
      </w:r>
      <w:r>
        <w:rPr>
          <w:rFonts w:hint="eastAsia" w:cs="Times New Roman"/>
          <w:color w:val="auto"/>
          <w:sz w:val="28"/>
          <w:szCs w:val="28"/>
          <w:lang w:val="en-US" w:eastAsia="zh-CN"/>
        </w:rPr>
        <w:t>.5</w:t>
      </w:r>
      <w:r>
        <w:rPr>
          <w:rFonts w:hint="default" w:ascii="Times New Roman" w:hAnsi="Times New Roman" w:eastAsia="宋体" w:cs="Times New Roman"/>
          <w:color w:val="auto"/>
          <w:sz w:val="28"/>
          <w:szCs w:val="28"/>
          <w:lang w:eastAsia="zh-CN"/>
        </w:rPr>
        <w:t>%提取，</w:t>
      </w:r>
      <w:r>
        <w:rPr>
          <w:rFonts w:hint="default" w:ascii="Times New Roman" w:hAnsi="Times New Roman" w:cs="Times New Roman"/>
          <w:color w:val="222222"/>
          <w:sz w:val="28"/>
          <w:szCs w:val="28"/>
        </w:rPr>
        <w:t>营业收入超过1000万元至1亿元的部分，按照2</w:t>
      </w:r>
      <w:r>
        <w:rPr>
          <w:rFonts w:hint="eastAsia" w:cs="Times New Roman"/>
          <w:color w:val="222222"/>
          <w:sz w:val="28"/>
          <w:szCs w:val="28"/>
          <w:lang w:val="en-US" w:eastAsia="zh-CN"/>
        </w:rPr>
        <w:t>.25</w:t>
      </w:r>
      <w:r>
        <w:rPr>
          <w:rFonts w:hint="default" w:ascii="Times New Roman" w:hAnsi="Times New Roman" w:cs="Times New Roman"/>
          <w:color w:val="222222"/>
          <w:sz w:val="28"/>
          <w:szCs w:val="28"/>
        </w:rPr>
        <w:t>%提取</w:t>
      </w:r>
      <w:r>
        <w:rPr>
          <w:rFonts w:hint="default" w:ascii="Times New Roman" w:hAnsi="Times New Roman" w:eastAsia="宋体" w:cs="Times New Roman"/>
          <w:color w:val="auto"/>
          <w:sz w:val="28"/>
          <w:szCs w:val="28"/>
          <w:lang w:eastAsia="zh-CN"/>
        </w:rPr>
        <w:t>。</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（8）从业人员的培训情况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该企业</w:t>
      </w:r>
      <w:r>
        <w:rPr>
          <w:rFonts w:hint="eastAsia" w:ascii="Times New Roman" w:hAnsi="Times New Roman" w:eastAsia="宋体" w:cs="Times New Roman"/>
          <w:color w:val="auto"/>
          <w:sz w:val="28"/>
          <w:szCs w:val="28"/>
          <w:lang w:val="en-US" w:eastAsia="zh-CN"/>
        </w:rPr>
        <w:t>按“职工安全学习教育制度”的规定对新入职职工进行三级教育。</w:t>
      </w:r>
      <w:r>
        <w:rPr>
          <w:rFonts w:hint="eastAsia" w:cs="Times New Roman"/>
          <w:color w:val="auto"/>
          <w:sz w:val="28"/>
          <w:szCs w:val="28"/>
          <w:lang w:val="en-US" w:eastAsia="zh-CN"/>
        </w:rPr>
        <w:t>特殊作业人员</w:t>
      </w:r>
      <w:r>
        <w:rPr>
          <w:rFonts w:hint="eastAsia" w:ascii="Times New Roman" w:hAnsi="Times New Roman" w:eastAsia="宋体" w:cs="Times New Roman"/>
          <w:color w:val="auto"/>
          <w:sz w:val="28"/>
          <w:szCs w:val="28"/>
          <w:lang w:val="en-US" w:eastAsia="zh-CN"/>
        </w:rPr>
        <w:t>经过相关部门培训合格后持证上岗，特种设备作业人员具有特种设备作业资格证书。其他从业人员在上岗之前，接受了单位组织的安全生产教育和培训，具备了必要的安全生产知识，熟悉了有关的安全生产规章制度和安全技术操作规程，掌握了本岗位的安全操作技能、职业卫生防护知识和紧急救援知识，经考核合格后方可上岗。</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9</w:t>
      </w:r>
      <w:r>
        <w:rPr>
          <w:rFonts w:hint="eastAsia" w:ascii="Times New Roman" w:hAnsi="Times New Roman" w:eastAsia="宋体" w:cs="Times New Roman"/>
          <w:color w:val="auto"/>
          <w:sz w:val="28"/>
          <w:szCs w:val="28"/>
          <w:lang w:eastAsia="zh-CN"/>
        </w:rPr>
        <w:t>）检维修作业情况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企业定期对生产设备设施进行检维修工作，发现严重问题时立即停用设备，及时上报审批经费，维修工作完成确认后方可重新投用。</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lang w:eastAsia="zh-CN"/>
        </w:rPr>
        <w:t>）安全生产的监督检查情况</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制定了生产</w:t>
      </w:r>
      <w:r>
        <w:rPr>
          <w:rFonts w:hint="eastAsia" w:cs="Times New Roman"/>
          <w:color w:val="auto"/>
          <w:sz w:val="28"/>
          <w:szCs w:val="28"/>
          <w:lang w:eastAsia="zh-CN"/>
        </w:rPr>
        <w:t>设施</w:t>
      </w:r>
      <w:r>
        <w:rPr>
          <w:rFonts w:hint="eastAsia" w:ascii="Times New Roman" w:hAnsi="Times New Roman" w:eastAsia="宋体" w:cs="Times New Roman"/>
          <w:color w:val="auto"/>
          <w:sz w:val="28"/>
          <w:szCs w:val="28"/>
          <w:lang w:eastAsia="zh-CN"/>
        </w:rPr>
        <w:t>安全管理制度，依规章制度每年、每季度、每月、每日对安全生产情况进行检查，检查和排查结果按整改期限进行整改。</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11</w:t>
      </w:r>
      <w:r>
        <w:rPr>
          <w:rFonts w:hint="eastAsia" w:ascii="Times New Roman" w:hAnsi="Times New Roman" w:eastAsia="宋体" w:cs="Times New Roman"/>
          <w:color w:val="auto"/>
          <w:sz w:val="28"/>
          <w:szCs w:val="28"/>
          <w:lang w:eastAsia="zh-CN"/>
        </w:rPr>
        <w:t>）应急管理</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sz w:val="28"/>
          <w:szCs w:val="28"/>
          <w:lang w:eastAsia="zh-CN"/>
        </w:rPr>
      </w:pPr>
      <w:r>
        <w:rPr>
          <w:rFonts w:hint="eastAsia" w:cs="Times New Roman"/>
          <w:color w:val="auto"/>
          <w:sz w:val="28"/>
          <w:szCs w:val="28"/>
          <w:lang w:eastAsia="zh-CN"/>
        </w:rPr>
        <w:t>该企业</w:t>
      </w:r>
      <w:r>
        <w:rPr>
          <w:rFonts w:hint="eastAsia" w:ascii="Times New Roman" w:hAnsi="Times New Roman" w:eastAsia="宋体" w:cs="Times New Roman"/>
          <w:color w:val="auto"/>
          <w:sz w:val="28"/>
          <w:szCs w:val="28"/>
          <w:lang w:eastAsia="zh-CN"/>
        </w:rPr>
        <w:t>已编制《</w:t>
      </w:r>
      <w:r>
        <w:rPr>
          <w:rFonts w:hint="eastAsia" w:cs="Times New Roman"/>
          <w:color w:val="auto"/>
          <w:sz w:val="28"/>
          <w:szCs w:val="28"/>
          <w:lang w:eastAsia="zh-CN"/>
        </w:rPr>
        <w:t>黑山鸿泰化工有限公司</w:t>
      </w:r>
      <w:r>
        <w:rPr>
          <w:rFonts w:hint="eastAsia" w:ascii="Times New Roman" w:hAnsi="Times New Roman" w:eastAsia="宋体" w:cs="Times New Roman"/>
          <w:color w:val="auto"/>
          <w:sz w:val="28"/>
          <w:szCs w:val="28"/>
          <w:lang w:eastAsia="zh-CN"/>
        </w:rPr>
        <w:t>生产安全事故应急预案》，预案编制符合《生产经营单位生产安全事故应急预案编制导则》（GB/T 29639</w:t>
      </w:r>
      <w:r>
        <w:rPr>
          <w:rFonts w:hint="eastAsia" w:ascii="Times New Roman" w:hAnsi="Times New Roman" w:eastAsia="宋体" w:cs="Times New Roman"/>
          <w:color w:val="auto"/>
          <w:sz w:val="28"/>
          <w:szCs w:val="28"/>
          <w:lang w:val="en-US" w:eastAsia="zh-CN"/>
        </w:rPr>
        <w:t>-2020</w:t>
      </w:r>
      <w:r>
        <w:rPr>
          <w:rFonts w:hint="eastAsia" w:ascii="Times New Roman" w:hAnsi="Times New Roman" w:eastAsia="宋体" w:cs="Times New Roman"/>
          <w:color w:val="auto"/>
          <w:sz w:val="28"/>
          <w:szCs w:val="28"/>
          <w:lang w:eastAsia="zh-CN"/>
        </w:rPr>
        <w:t>）的要求，于20</w:t>
      </w:r>
      <w:r>
        <w:rPr>
          <w:rFonts w:hint="eastAsia" w:ascii="Times New Roman" w:hAnsi="Times New Roman" w:eastAsia="宋体" w:cs="Times New Roman"/>
          <w:color w:val="auto"/>
          <w:sz w:val="28"/>
          <w:szCs w:val="28"/>
          <w:lang w:val="en-US" w:eastAsia="zh-CN"/>
        </w:rPr>
        <w:t>2</w:t>
      </w:r>
      <w:r>
        <w:rPr>
          <w:rFonts w:hint="eastAsia" w:cs="Times New Roman"/>
          <w:color w:val="auto"/>
          <w:sz w:val="28"/>
          <w:szCs w:val="28"/>
          <w:lang w:val="en-US" w:eastAsia="zh-CN"/>
        </w:rPr>
        <w:t>3</w:t>
      </w:r>
      <w:r>
        <w:rPr>
          <w:rFonts w:hint="eastAsia" w:ascii="Times New Roman" w:hAnsi="Times New Roman" w:eastAsia="宋体" w:cs="Times New Roman"/>
          <w:color w:val="auto"/>
          <w:sz w:val="28"/>
          <w:szCs w:val="28"/>
          <w:lang w:eastAsia="zh-CN"/>
        </w:rPr>
        <w:t>年</w:t>
      </w:r>
      <w:r>
        <w:rPr>
          <w:rFonts w:hint="eastAsia" w:cs="Times New Roman"/>
          <w:color w:val="auto"/>
          <w:sz w:val="28"/>
          <w:szCs w:val="28"/>
          <w:lang w:val="en-US" w:eastAsia="zh-CN"/>
        </w:rPr>
        <w:t>05</w:t>
      </w:r>
      <w:r>
        <w:rPr>
          <w:rFonts w:hint="eastAsia" w:ascii="Times New Roman" w:hAnsi="Times New Roman" w:eastAsia="宋体" w:cs="Times New Roman"/>
          <w:color w:val="auto"/>
          <w:sz w:val="28"/>
          <w:szCs w:val="28"/>
          <w:lang w:eastAsia="zh-CN"/>
        </w:rPr>
        <w:t>月</w:t>
      </w:r>
      <w:r>
        <w:rPr>
          <w:rFonts w:hint="eastAsia" w:ascii="Times New Roman" w:hAnsi="Times New Roman" w:eastAsia="宋体" w:cs="Times New Roman"/>
          <w:color w:val="auto"/>
          <w:sz w:val="28"/>
          <w:szCs w:val="28"/>
          <w:lang w:val="en-US" w:eastAsia="zh-CN"/>
        </w:rPr>
        <w:t>1</w:t>
      </w:r>
      <w:r>
        <w:rPr>
          <w:rFonts w:hint="eastAsia" w:cs="Times New Roman"/>
          <w:color w:val="auto"/>
          <w:sz w:val="28"/>
          <w:szCs w:val="28"/>
          <w:lang w:val="en-US" w:eastAsia="zh-CN"/>
        </w:rPr>
        <w:t>5</w:t>
      </w:r>
      <w:r>
        <w:rPr>
          <w:rFonts w:hint="eastAsia" w:ascii="Times New Roman" w:hAnsi="Times New Roman" w:eastAsia="宋体" w:cs="Times New Roman"/>
          <w:color w:val="auto"/>
          <w:sz w:val="28"/>
          <w:szCs w:val="28"/>
          <w:lang w:eastAsia="zh-CN"/>
        </w:rPr>
        <w:t>日在</w:t>
      </w:r>
      <w:r>
        <w:rPr>
          <w:rFonts w:hint="eastAsia" w:cs="Times New Roman"/>
          <w:color w:val="auto"/>
          <w:sz w:val="28"/>
          <w:szCs w:val="28"/>
          <w:lang w:val="en-US" w:eastAsia="zh-CN"/>
        </w:rPr>
        <w:t>黑山县</w:t>
      </w:r>
      <w:r>
        <w:rPr>
          <w:rFonts w:hint="eastAsia" w:ascii="Times New Roman" w:hAnsi="Times New Roman" w:eastAsia="宋体" w:cs="Times New Roman"/>
          <w:color w:val="auto"/>
          <w:sz w:val="28"/>
          <w:szCs w:val="28"/>
          <w:lang w:eastAsia="zh-CN"/>
        </w:rPr>
        <w:t>应急管理局备案。日常注重应急预案的培训，定期组织应急预案演练。</w:t>
      </w:r>
    </w:p>
    <w:p>
      <w:pPr>
        <w:keepNext w:val="0"/>
        <w:keepLines w:val="0"/>
        <w:pageBreakBefore w:val="0"/>
        <w:widowControl w:val="0"/>
        <w:numPr>
          <w:ilvl w:val="2"/>
          <w:numId w:val="0"/>
        </w:numPr>
        <w:kinsoku/>
        <w:wordWrap/>
        <w:overflowPunct/>
        <w:topLinePunct w:val="0"/>
        <w:autoSpaceDE/>
        <w:autoSpaceDN/>
        <w:bidi w:val="0"/>
        <w:adjustRightInd/>
        <w:snapToGrid/>
        <w:spacing w:before="157" w:beforeLines="50" w:beforeAutospacing="0" w:after="157" w:afterLines="50" w:afterAutospacing="0" w:line="360" w:lineRule="auto"/>
        <w:ind w:left="720" w:leftChars="0" w:hanging="720"/>
        <w:jc w:val="left"/>
        <w:textAlignment w:val="auto"/>
        <w:outlineLvl w:val="2"/>
        <w:rPr>
          <w:rFonts w:hint="eastAsia" w:ascii="Times New Roman" w:hAnsi="Times New Roman" w:eastAsia="黑体" w:cs="Times New Roman"/>
          <w:b w:val="0"/>
          <w:bCs/>
          <w:kern w:val="0"/>
          <w:sz w:val="28"/>
          <w:szCs w:val="28"/>
          <w:lang w:val="en-US" w:eastAsia="zh-CN" w:bidi="ar"/>
        </w:rPr>
      </w:pPr>
      <w:r>
        <w:rPr>
          <w:rFonts w:hint="eastAsia" w:ascii="Times New Roman" w:hAnsi="Times New Roman" w:eastAsia="黑体" w:cs="Times New Roman"/>
          <w:b w:val="0"/>
          <w:bCs/>
          <w:kern w:val="0"/>
          <w:sz w:val="28"/>
          <w:szCs w:val="28"/>
          <w:lang w:val="en-US" w:eastAsia="zh-CN" w:bidi="ar"/>
        </w:rPr>
        <w:t>5.1.2 生产层安全条件分析</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5.1.2.1</w:t>
      </w:r>
      <w:r>
        <w:rPr>
          <w:rFonts w:hint="eastAsia" w:ascii="Times New Roman" w:hAnsi="宋体" w:eastAsia="宋体" w:cs="Times New Roman"/>
          <w:sz w:val="28"/>
          <w:szCs w:val="28"/>
          <w:lang w:val="en-US" w:eastAsia="zh-CN"/>
        </w:rPr>
        <w:t xml:space="preserve"> </w:t>
      </w:r>
      <w:r>
        <w:rPr>
          <w:rFonts w:hint="eastAsia" w:ascii="Times New Roman" w:hAnsi="宋体" w:eastAsia="宋体" w:cs="Times New Roman"/>
          <w:sz w:val="28"/>
          <w:szCs w:val="28"/>
          <w:lang w:eastAsia="zh-CN"/>
        </w:rPr>
        <w:t>外部条件</w:t>
      </w:r>
    </w:p>
    <w:p>
      <w:pPr>
        <w:keepNext w:val="0"/>
        <w:keepLines w:val="0"/>
        <w:pageBreakBefore w:val="0"/>
        <w:widowControl w:val="0"/>
        <w:tabs>
          <w:tab w:val="left" w:pos="-200"/>
        </w:tabs>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eastAsia="zh-CN"/>
        </w:rPr>
        <w:t>（1）</w:t>
      </w:r>
      <w:r>
        <w:rPr>
          <w:rFonts w:hint="eastAsia" w:cs="Times New Roman"/>
          <w:color w:val="auto"/>
          <w:sz w:val="28"/>
          <w:szCs w:val="28"/>
          <w:lang w:eastAsia="zh-CN"/>
        </w:rPr>
        <w:t>黑山鸿泰化工有限公司</w:t>
      </w:r>
      <w:r>
        <w:rPr>
          <w:rFonts w:hint="default" w:ascii="Times New Roman" w:hAnsi="Times New Roman" w:eastAsia="宋体" w:cs="Times New Roman"/>
          <w:color w:val="auto"/>
          <w:sz w:val="28"/>
          <w:szCs w:val="28"/>
          <w:lang w:eastAsia="zh-CN"/>
        </w:rPr>
        <w:t>成立于</w:t>
      </w:r>
      <w:r>
        <w:rPr>
          <w:rFonts w:hint="eastAsia" w:ascii="Times New Roman" w:hAnsi="Times New Roman" w:eastAsia="宋体" w:cs="Times New Roman"/>
          <w:color w:val="auto"/>
          <w:sz w:val="28"/>
          <w:szCs w:val="28"/>
          <w:lang w:val="en-US" w:eastAsia="zh-CN"/>
        </w:rPr>
        <w:t>20</w:t>
      </w:r>
      <w:r>
        <w:rPr>
          <w:rFonts w:hint="eastAsia" w:cs="Times New Roman"/>
          <w:color w:val="auto"/>
          <w:sz w:val="28"/>
          <w:szCs w:val="28"/>
          <w:lang w:val="en-US" w:eastAsia="zh-CN"/>
        </w:rPr>
        <w:t>0</w:t>
      </w:r>
      <w:r>
        <w:rPr>
          <w:rFonts w:hint="eastAsia" w:ascii="Times New Roman" w:hAnsi="Times New Roman" w:eastAsia="宋体" w:cs="Times New Roman"/>
          <w:color w:val="auto"/>
          <w:sz w:val="28"/>
          <w:szCs w:val="28"/>
          <w:lang w:val="en-US" w:eastAsia="zh-CN"/>
        </w:rPr>
        <w:t>5年</w:t>
      </w:r>
      <w:r>
        <w:rPr>
          <w:rFonts w:hint="eastAsia" w:cs="Times New Roman"/>
          <w:color w:val="auto"/>
          <w:sz w:val="28"/>
          <w:szCs w:val="28"/>
          <w:lang w:val="en-US" w:eastAsia="zh-CN"/>
        </w:rPr>
        <w:t>02</w:t>
      </w:r>
      <w:r>
        <w:rPr>
          <w:rFonts w:hint="eastAsia" w:ascii="Times New Roman" w:hAnsi="Times New Roman" w:eastAsia="宋体" w:cs="Times New Roman"/>
          <w:color w:val="auto"/>
          <w:sz w:val="28"/>
          <w:szCs w:val="28"/>
          <w:lang w:val="en-US" w:eastAsia="zh-CN"/>
        </w:rPr>
        <w:t>月</w:t>
      </w:r>
      <w:r>
        <w:rPr>
          <w:rFonts w:hint="eastAsia" w:cs="Times New Roman"/>
          <w:color w:val="auto"/>
          <w:sz w:val="28"/>
          <w:szCs w:val="28"/>
          <w:lang w:val="en-US" w:eastAsia="zh-CN"/>
        </w:rPr>
        <w:t>02</w:t>
      </w:r>
      <w:r>
        <w:rPr>
          <w:rFonts w:hint="eastAsia" w:ascii="Times New Roman" w:hAnsi="Times New Roman" w:eastAsia="宋体" w:cs="Times New Roman"/>
          <w:color w:val="auto"/>
          <w:sz w:val="28"/>
          <w:szCs w:val="28"/>
          <w:lang w:val="en-US" w:eastAsia="zh-CN"/>
        </w:rPr>
        <w:t>日</w:t>
      </w:r>
      <w:r>
        <w:rPr>
          <w:rFonts w:hint="eastAsia" w:cs="Times New Roman"/>
          <w:sz w:val="28"/>
          <w:szCs w:val="28"/>
          <w:lang w:eastAsia="zh-CN"/>
        </w:rPr>
        <w:t>，</w:t>
      </w:r>
      <w:r>
        <w:rPr>
          <w:rFonts w:hint="eastAsia" w:ascii="Times New Roman" w:hAnsi="Times New Roman" w:eastAsia="宋体" w:cs="Times New Roman"/>
          <w:sz w:val="28"/>
          <w:szCs w:val="28"/>
          <w:lang w:eastAsia="zh-CN"/>
        </w:rPr>
        <w:t>该企业危险化学品生产符合国家和省、自治区、直辖市的规划和布局</w:t>
      </w:r>
      <w:r>
        <w:rPr>
          <w:rFonts w:hint="default" w:ascii="Times New Roman" w:hAnsi="Times New Roman" w:eastAsia="宋体" w:cs="Times New Roman"/>
          <w:sz w:val="28"/>
          <w:szCs w:val="28"/>
          <w:lang w:eastAsia="zh-CN"/>
        </w:rPr>
        <w:t>。</w:t>
      </w:r>
    </w:p>
    <w:p>
      <w:pPr>
        <w:keepNext w:val="0"/>
        <w:keepLines w:val="0"/>
        <w:pageBreakBefore w:val="0"/>
        <w:widowControl w:val="0"/>
        <w:tabs>
          <w:tab w:val="left" w:pos="-200"/>
        </w:tabs>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lang w:eastAsia="zh-CN"/>
        </w:rPr>
        <w:t>）</w:t>
      </w:r>
      <w:r>
        <w:rPr>
          <w:rFonts w:hint="eastAsia" w:cs="Times New Roman"/>
          <w:sz w:val="28"/>
          <w:szCs w:val="28"/>
          <w:lang w:eastAsia="zh-CN"/>
        </w:rPr>
        <w:t>该企业</w:t>
      </w:r>
      <w:r>
        <w:rPr>
          <w:rFonts w:hint="default" w:ascii="Times New Roman" w:hAnsi="Times New Roman" w:eastAsia="宋体" w:cs="Times New Roman"/>
          <w:sz w:val="28"/>
          <w:szCs w:val="28"/>
          <w:lang w:eastAsia="zh-CN"/>
        </w:rPr>
        <w:t>生产和储存设施未构成重大危险源，其与生产单位周边社区的距离符合有关法律、法规、规章和标准的规定。</w:t>
      </w:r>
    </w:p>
    <w:p>
      <w:pPr>
        <w:spacing w:line="360" w:lineRule="auto"/>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5.1.2.2</w:t>
      </w:r>
      <w:r>
        <w:rPr>
          <w:rFonts w:hint="eastAsia" w:ascii="Times New Roman" w:hAnsi="宋体" w:eastAsia="宋体" w:cs="Times New Roman"/>
          <w:sz w:val="28"/>
          <w:szCs w:val="28"/>
          <w:lang w:val="en-US" w:eastAsia="zh-CN"/>
        </w:rPr>
        <w:t xml:space="preserve"> </w:t>
      </w:r>
      <w:r>
        <w:rPr>
          <w:rFonts w:hint="eastAsia" w:ascii="Times New Roman" w:hAnsi="宋体" w:eastAsia="宋体" w:cs="Times New Roman"/>
          <w:sz w:val="28"/>
          <w:szCs w:val="28"/>
          <w:lang w:eastAsia="zh-CN"/>
        </w:rPr>
        <w:t>内部安全生产条件</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（1）安全生产责任制落实情况</w:t>
      </w:r>
    </w:p>
    <w:p>
      <w:pPr>
        <w:spacing w:line="360" w:lineRule="auto"/>
        <w:ind w:firstLine="570"/>
        <w:jc w:val="left"/>
        <w:rPr>
          <w:rFonts w:hint="eastAsia" w:ascii="Times New Roman" w:hAnsi="宋体" w:eastAsia="宋体" w:cs="Times New Roman"/>
          <w:sz w:val="28"/>
          <w:szCs w:val="28"/>
          <w:lang w:eastAsia="zh-CN"/>
        </w:rPr>
      </w:pPr>
      <w:r>
        <w:rPr>
          <w:rFonts w:hint="eastAsia" w:hAnsi="宋体" w:cs="Times New Roman"/>
          <w:sz w:val="28"/>
          <w:szCs w:val="28"/>
          <w:lang w:eastAsia="zh-CN"/>
        </w:rPr>
        <w:t>该企业</w:t>
      </w:r>
      <w:r>
        <w:rPr>
          <w:rFonts w:hint="eastAsia" w:ascii="Times New Roman" w:hAnsi="宋体" w:eastAsia="宋体" w:cs="Times New Roman"/>
          <w:sz w:val="28"/>
          <w:szCs w:val="28"/>
          <w:lang w:eastAsia="zh-CN"/>
        </w:rPr>
        <w:t>制定了从主要负责人到操作人员的各级安全生产责任制并落实到每个人，总体上安全生产责任制落实情况比较好。</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（2）安全生产管理制度的执行情况</w:t>
      </w:r>
    </w:p>
    <w:p>
      <w:pPr>
        <w:spacing w:line="360" w:lineRule="auto"/>
        <w:ind w:firstLine="570"/>
        <w:jc w:val="left"/>
        <w:rPr>
          <w:rFonts w:hint="eastAsia" w:ascii="Times New Roman" w:hAnsi="宋体" w:eastAsia="宋体" w:cs="Times New Roman"/>
          <w:sz w:val="28"/>
          <w:szCs w:val="28"/>
          <w:lang w:eastAsia="zh-CN"/>
        </w:rPr>
      </w:pPr>
      <w:r>
        <w:rPr>
          <w:rFonts w:hint="eastAsia" w:hAnsi="宋体" w:cs="Times New Roman"/>
          <w:sz w:val="28"/>
          <w:szCs w:val="28"/>
          <w:lang w:eastAsia="zh-CN"/>
        </w:rPr>
        <w:t>该企业</w:t>
      </w:r>
      <w:r>
        <w:rPr>
          <w:rFonts w:hint="eastAsia" w:ascii="Times New Roman" w:hAnsi="宋体" w:eastAsia="宋体" w:cs="Times New Roman"/>
          <w:sz w:val="28"/>
          <w:szCs w:val="28"/>
          <w:lang w:eastAsia="zh-CN"/>
        </w:rPr>
        <w:t>严格按照安全生产管理制度规范企业的安全管理，总体上来说，安全管理制度执行情况比较好。</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（3）岗位操作规程和作业安全规程的执行情况</w:t>
      </w:r>
    </w:p>
    <w:p>
      <w:pPr>
        <w:spacing w:line="360" w:lineRule="auto"/>
        <w:ind w:firstLine="570"/>
        <w:jc w:val="left"/>
        <w:rPr>
          <w:rFonts w:hint="eastAsia" w:ascii="Times New Roman" w:hAnsi="宋体" w:eastAsia="宋体" w:cs="Times New Roman"/>
          <w:sz w:val="28"/>
          <w:szCs w:val="28"/>
          <w:lang w:eastAsia="zh-CN"/>
        </w:rPr>
      </w:pPr>
      <w:r>
        <w:rPr>
          <w:rFonts w:hint="eastAsia" w:hAnsi="宋体" w:cs="Times New Roman"/>
          <w:sz w:val="28"/>
          <w:szCs w:val="28"/>
          <w:lang w:eastAsia="zh-CN"/>
        </w:rPr>
        <w:t>该企业</w:t>
      </w:r>
      <w:r>
        <w:rPr>
          <w:rFonts w:hint="eastAsia" w:ascii="Times New Roman" w:hAnsi="宋体" w:eastAsia="宋体" w:cs="Times New Roman"/>
          <w:sz w:val="28"/>
          <w:szCs w:val="28"/>
          <w:lang w:eastAsia="zh-CN"/>
        </w:rPr>
        <w:t>严格按照岗位安全操作规程进行作业，违反操作规程作业的立即离岗进行再培训。</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（4）</w:t>
      </w:r>
      <w:r>
        <w:rPr>
          <w:rFonts w:hint="eastAsia" w:ascii="宋体" w:hAnsi="宋体" w:cs="宋体"/>
          <w:sz w:val="28"/>
          <w:szCs w:val="28"/>
        </w:rPr>
        <w:t>从业人员安全生产培训、继续培训和考核情况以及安全操作能力、水平</w:t>
      </w:r>
      <w:r>
        <w:rPr>
          <w:rFonts w:hint="eastAsia" w:ascii="宋体" w:hAnsi="宋体" w:cs="宋体"/>
          <w:sz w:val="28"/>
          <w:szCs w:val="28"/>
          <w:lang w:eastAsia="zh-CN"/>
        </w:rPr>
        <w:t>情况</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从业人员定期进行安全生产教育培训和继续再教育培训，岗位工人对本岗位的安全操作规程和作业安全规程掌握较好，可以满足工作需要。</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（5）设备设施及其变更设备设施的检修、维护和法定检验、检测情况及其变更设备、设施的配套措施情况</w:t>
      </w:r>
    </w:p>
    <w:p>
      <w:pPr>
        <w:spacing w:line="360" w:lineRule="auto"/>
        <w:ind w:firstLine="570"/>
        <w:jc w:val="left"/>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eastAsia="zh-CN"/>
        </w:rPr>
        <w:t>主要</w:t>
      </w:r>
      <w:r>
        <w:rPr>
          <w:rFonts w:hint="eastAsia" w:hAnsi="宋体" w:cs="Times New Roman"/>
          <w:sz w:val="28"/>
          <w:szCs w:val="28"/>
          <w:lang w:val="en-US" w:eastAsia="zh-CN"/>
        </w:rPr>
        <w:t>生产</w:t>
      </w:r>
      <w:r>
        <w:rPr>
          <w:rFonts w:hint="eastAsia" w:ascii="Times New Roman" w:hAnsi="宋体" w:eastAsia="宋体" w:cs="Times New Roman"/>
          <w:sz w:val="28"/>
          <w:szCs w:val="28"/>
          <w:lang w:eastAsia="zh-CN"/>
        </w:rPr>
        <w:t>设备设施无变更，</w:t>
      </w:r>
      <w:r>
        <w:rPr>
          <w:rFonts w:hint="eastAsia" w:hAnsi="宋体" w:cs="Times New Roman"/>
          <w:sz w:val="28"/>
          <w:szCs w:val="28"/>
          <w:lang w:val="en-US" w:eastAsia="zh-CN"/>
        </w:rPr>
        <w:t>增设了部分环保尾气处理设施</w:t>
      </w:r>
      <w:r>
        <w:rPr>
          <w:rFonts w:hint="eastAsia" w:ascii="Times New Roman" w:hAnsi="宋体" w:eastAsia="宋体" w:cs="Times New Roman"/>
          <w:sz w:val="28"/>
          <w:szCs w:val="28"/>
          <w:lang w:val="en-US" w:eastAsia="zh-CN"/>
        </w:rPr>
        <w:t>。</w:t>
      </w:r>
    </w:p>
    <w:p>
      <w:pPr>
        <w:spacing w:line="360" w:lineRule="auto"/>
        <w:ind w:firstLine="570"/>
        <w:jc w:val="left"/>
        <w:rPr>
          <w:rFonts w:hint="eastAsia" w:ascii="Times New Roman" w:hAnsi="宋体" w:eastAsia="宋体" w:cs="Times New Roman"/>
          <w:sz w:val="28"/>
          <w:szCs w:val="28"/>
          <w:lang w:val="en-US" w:eastAsia="zh-CN"/>
        </w:rPr>
      </w:pPr>
      <w:r>
        <w:rPr>
          <w:rFonts w:hint="eastAsia" w:ascii="Times New Roman" w:hAnsi="宋体" w:eastAsia="宋体" w:cs="Times New Roman"/>
          <w:sz w:val="28"/>
          <w:szCs w:val="28"/>
          <w:lang w:eastAsia="zh-CN"/>
        </w:rPr>
        <w:t>生产设备及安全附件定期进行进行维护与保养，虽已投产多年，但设备一直保持良好工作状况，压力容器、可燃气体报警器、安全阀、压力表等特种设备及安全附件定期由进行检验。</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（6）生产工艺及其变更情况</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企业生产工艺采用当前通用的生产技术，技术成熟。生产工艺未作变更。</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（7）生产原料、辅助材料及其变更原料、辅助材料的情况</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企业使用的原辅材料均为合格产品。生产原辅材料、产量均未作变更。</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（8）作业场所及其变更情况和法定监测、监控情况</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企业作业场所</w:t>
      </w:r>
      <w:r>
        <w:rPr>
          <w:rFonts w:hint="eastAsia" w:hAnsi="宋体" w:cs="Times New Roman"/>
          <w:sz w:val="28"/>
          <w:szCs w:val="28"/>
          <w:lang w:eastAsia="zh-CN"/>
        </w:rPr>
        <w:t>三年内</w:t>
      </w:r>
      <w:r>
        <w:rPr>
          <w:rFonts w:hint="eastAsia" w:ascii="Times New Roman" w:hAnsi="宋体" w:eastAsia="宋体" w:cs="Times New Roman"/>
          <w:sz w:val="28"/>
          <w:szCs w:val="28"/>
          <w:lang w:eastAsia="zh-CN"/>
        </w:rPr>
        <w:t>未进行过变更。厂区内生产场所固定，功能分区明确。</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（9）职业危害防护设施的设置及其变更设施的检修、维护和法定检验、检测情况</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职业危害防护设施近三年内未发生改变，并定期维护和保养。</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（10）从业人员劳动保护用品的配备及其检修、维护和法定检验、检测情况</w:t>
      </w:r>
    </w:p>
    <w:p>
      <w:pPr>
        <w:spacing w:line="360" w:lineRule="auto"/>
        <w:ind w:firstLine="570"/>
        <w:jc w:val="left"/>
        <w:rPr>
          <w:rFonts w:hint="eastAsia" w:ascii="Times New Roman" w:hAnsi="宋体" w:eastAsia="宋体" w:cs="Times New Roman"/>
          <w:sz w:val="28"/>
          <w:szCs w:val="28"/>
          <w:lang w:eastAsia="zh-CN"/>
        </w:rPr>
      </w:pPr>
      <w:r>
        <w:rPr>
          <w:rFonts w:hint="eastAsia" w:hAnsi="宋体" w:cs="Times New Roman"/>
          <w:sz w:val="28"/>
          <w:szCs w:val="28"/>
          <w:lang w:eastAsia="zh-CN"/>
        </w:rPr>
        <w:t>该企业</w:t>
      </w:r>
      <w:r>
        <w:rPr>
          <w:rFonts w:hint="eastAsia" w:ascii="Times New Roman" w:hAnsi="宋体" w:eastAsia="宋体" w:cs="Times New Roman"/>
          <w:sz w:val="28"/>
          <w:szCs w:val="28"/>
          <w:lang w:eastAsia="zh-CN"/>
        </w:rPr>
        <w:t>为从业人员配备了符合国家标准的劳动防护用品，并督促从业人员正确使用和佩戴。定期为从业人员发放的防护用品有：防护手套、防护工作服等。</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w:t>
      </w:r>
      <w:r>
        <w:rPr>
          <w:rFonts w:hint="eastAsia" w:ascii="Times New Roman" w:hAnsi="宋体" w:eastAsia="宋体" w:cs="Times New Roman"/>
          <w:sz w:val="28"/>
          <w:szCs w:val="28"/>
          <w:lang w:val="en-US" w:eastAsia="zh-CN"/>
        </w:rPr>
        <w:t>11</w:t>
      </w:r>
      <w:r>
        <w:rPr>
          <w:rFonts w:hint="eastAsia" w:ascii="Times New Roman" w:hAnsi="宋体" w:eastAsia="宋体" w:cs="Times New Roman"/>
          <w:sz w:val="28"/>
          <w:szCs w:val="28"/>
          <w:lang w:eastAsia="zh-CN"/>
        </w:rPr>
        <w:t>）特殊作业及管理情况</w:t>
      </w:r>
    </w:p>
    <w:p>
      <w:pPr>
        <w:pStyle w:val="2"/>
        <w:ind w:firstLine="560"/>
        <w:rPr>
          <w:rFonts w:hint="eastAsia" w:ascii="宋体" w:hAnsi="宋体" w:eastAsia="宋体" w:cs="宋体"/>
          <w:sz w:val="28"/>
          <w:szCs w:val="28"/>
        </w:rPr>
      </w:pPr>
      <w:r>
        <w:rPr>
          <w:rFonts w:hint="eastAsia" w:ascii="宋体" w:hAnsi="宋体" w:eastAsia="宋体" w:cs="宋体"/>
          <w:sz w:val="28"/>
          <w:szCs w:val="28"/>
        </w:rPr>
        <w:t>该企业制定了详细的特殊作业</w:t>
      </w:r>
      <w:r>
        <w:rPr>
          <w:rFonts w:hint="eastAsia" w:ascii="宋体" w:hAnsi="宋体" w:cs="宋体"/>
          <w:sz w:val="28"/>
          <w:szCs w:val="28"/>
          <w:lang w:eastAsia="zh-CN"/>
        </w:rPr>
        <w:t>及各类作业票</w:t>
      </w:r>
      <w:r>
        <w:rPr>
          <w:rFonts w:hint="eastAsia" w:ascii="宋体" w:hAnsi="宋体" w:eastAsia="宋体" w:cs="宋体"/>
          <w:sz w:val="28"/>
          <w:szCs w:val="28"/>
        </w:rPr>
        <w:t>管理制度，并按照国家相应的法律、标准和规范要求，根据生产实际情况持续不断改进更新。</w:t>
      </w:r>
    </w:p>
    <w:p>
      <w:pPr>
        <w:spacing w:line="360" w:lineRule="auto"/>
        <w:ind w:firstLine="570"/>
        <w:jc w:val="left"/>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w:t>
      </w:r>
      <w:r>
        <w:rPr>
          <w:rFonts w:hint="eastAsia" w:ascii="Times New Roman" w:hAnsi="宋体" w:eastAsia="宋体" w:cs="Times New Roman"/>
          <w:sz w:val="28"/>
          <w:szCs w:val="28"/>
          <w:lang w:val="en-US" w:eastAsia="zh-CN"/>
        </w:rPr>
        <w:t>12</w:t>
      </w:r>
      <w:r>
        <w:rPr>
          <w:rFonts w:hint="eastAsia" w:ascii="Times New Roman" w:hAnsi="宋体" w:eastAsia="宋体" w:cs="Times New Roman"/>
          <w:sz w:val="28"/>
          <w:szCs w:val="28"/>
          <w:lang w:eastAsia="zh-CN"/>
        </w:rPr>
        <w:t>）重大危险源的辨识</w:t>
      </w:r>
    </w:p>
    <w:p>
      <w:pPr>
        <w:spacing w:line="360" w:lineRule="auto"/>
        <w:ind w:firstLine="570"/>
        <w:jc w:val="left"/>
        <w:rPr>
          <w:rFonts w:hint="eastAsia" w:ascii="Times New Roman" w:hAnsi="宋体" w:eastAsia="宋体" w:cs="Times New Roman"/>
          <w:sz w:val="28"/>
          <w:szCs w:val="28"/>
          <w:lang w:eastAsia="zh-CN"/>
        </w:rPr>
      </w:pPr>
      <w:r>
        <w:rPr>
          <w:rFonts w:hint="eastAsia" w:hAnsi="宋体" w:cs="Times New Roman"/>
          <w:sz w:val="28"/>
          <w:szCs w:val="28"/>
          <w:lang w:eastAsia="zh-CN"/>
        </w:rPr>
        <w:t>该企业</w:t>
      </w:r>
      <w:r>
        <w:rPr>
          <w:rFonts w:hint="eastAsia" w:ascii="Times New Roman" w:hAnsi="宋体" w:eastAsia="宋体" w:cs="Times New Roman"/>
          <w:sz w:val="28"/>
          <w:szCs w:val="28"/>
          <w:lang w:eastAsia="zh-CN"/>
        </w:rPr>
        <w:t>经辨识未构成危险化学品重大危险源，详见报告附件2。</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05" w:name="_Toc1197"/>
      <w:bookmarkStart w:id="106" w:name="_Toc2169_WPSOffice_Level2"/>
      <w:bookmarkStart w:id="107" w:name="_Toc532977001"/>
      <w:bookmarkStart w:id="108" w:name="_Toc20479_WPSOffice_Level2"/>
      <w:r>
        <w:rPr>
          <w:rFonts w:hint="eastAsia" w:ascii="楷体" w:hAnsi="楷体" w:eastAsia="楷体" w:cs="楷体"/>
          <w:b w:val="0"/>
          <w:bCs/>
          <w:kern w:val="2"/>
          <w:sz w:val="32"/>
          <w:szCs w:val="32"/>
          <w:lang w:val="en-US" w:eastAsia="zh-CN"/>
        </w:rPr>
        <w:t>固有危险程度</w:t>
      </w:r>
      <w:bookmarkEnd w:id="105"/>
      <w:bookmarkEnd w:id="106"/>
      <w:bookmarkEnd w:id="107"/>
      <w:bookmarkEnd w:id="10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cs="Times New Roman"/>
          <w:color w:val="000000" w:themeColor="text1"/>
          <w:sz w:val="28"/>
          <w:lang w:val="en-US" w:eastAsia="zh-CN"/>
          <w14:textFill>
            <w14:solidFill>
              <w14:schemeClr w14:val="tx1"/>
            </w14:solidFill>
          </w14:textFill>
        </w:rPr>
      </w:pPr>
      <w:r>
        <w:rPr>
          <w:rFonts w:hint="eastAsia" w:ascii="Times New Roman" w:hAnsi="Times New Roman" w:cs="Times New Roman"/>
          <w:color w:val="000000" w:themeColor="text1"/>
          <w:sz w:val="28"/>
          <w:lang w:val="en-US" w:eastAsia="zh-CN"/>
          <w14:textFill>
            <w14:solidFill>
              <w14:schemeClr w14:val="tx1"/>
            </w14:solidFill>
          </w14:textFill>
        </w:rPr>
        <w:t>（1）安全检查表法评价：对照有关标准规范的要求，对周边环境及总平面布置单元、生产单元、储存单元、公辅设施单元、安全管理单元采用“安全检查表”进行了检查</w:t>
      </w:r>
      <w:bookmarkStart w:id="109" w:name="_Toc532977002"/>
      <w:r>
        <w:rPr>
          <w:rFonts w:hint="eastAsia" w:ascii="Times New Roman" w:hAnsi="Times New Roman" w:cs="Times New Roman"/>
          <w:color w:val="000000" w:themeColor="text1"/>
          <w:sz w:val="28"/>
          <w:lang w:val="en-US" w:eastAsia="zh-CN"/>
          <w14:textFill>
            <w14:solidFill>
              <w14:schemeClr w14:val="tx1"/>
            </w14:solidFill>
          </w14:textFill>
        </w:rPr>
        <w:t>，</w:t>
      </w:r>
      <w:r>
        <w:rPr>
          <w:rFonts w:hint="eastAsia" w:ascii="Times New Roman" w:hAnsi="Times New Roman" w:cs="Times New Roman"/>
          <w:color w:val="auto"/>
          <w:sz w:val="28"/>
          <w:lang w:val="en-US" w:eastAsia="zh-CN"/>
        </w:rPr>
        <w:t>共检查1</w:t>
      </w:r>
      <w:r>
        <w:rPr>
          <w:rFonts w:hint="eastAsia" w:cs="Times New Roman"/>
          <w:color w:val="auto"/>
          <w:sz w:val="28"/>
          <w:lang w:val="en-US" w:eastAsia="zh-CN"/>
        </w:rPr>
        <w:t>08</w:t>
      </w:r>
      <w:r>
        <w:rPr>
          <w:rFonts w:hint="eastAsia" w:ascii="Times New Roman" w:hAnsi="Times New Roman" w:cs="Times New Roman"/>
          <w:color w:val="auto"/>
          <w:sz w:val="28"/>
          <w:lang w:val="en-US" w:eastAsia="zh-CN"/>
        </w:rPr>
        <w:t>项，符合项</w:t>
      </w:r>
      <w:r>
        <w:rPr>
          <w:rFonts w:hint="eastAsia" w:cs="Times New Roman"/>
          <w:color w:val="auto"/>
          <w:sz w:val="28"/>
          <w:lang w:val="en-US" w:eastAsia="zh-CN"/>
        </w:rPr>
        <w:t>102</w:t>
      </w:r>
      <w:r>
        <w:rPr>
          <w:rFonts w:hint="eastAsia" w:ascii="Times New Roman" w:hAnsi="Times New Roman" w:cs="Times New Roman"/>
          <w:color w:val="auto"/>
          <w:sz w:val="28"/>
          <w:lang w:val="en-US" w:eastAsia="zh-CN"/>
        </w:rPr>
        <w:t>项，不符合项</w:t>
      </w:r>
      <w:r>
        <w:rPr>
          <w:rFonts w:hint="eastAsia" w:cs="Times New Roman"/>
          <w:color w:val="auto"/>
          <w:sz w:val="28"/>
          <w:lang w:val="en-US" w:eastAsia="zh-CN"/>
        </w:rPr>
        <w:t>6</w:t>
      </w:r>
      <w:r>
        <w:rPr>
          <w:rFonts w:hint="eastAsia" w:ascii="Times New Roman" w:hAnsi="Times New Roman" w:cs="Times New Roman"/>
          <w:color w:val="auto"/>
          <w:sz w:val="28"/>
          <w:lang w:val="en-US" w:eastAsia="zh-CN"/>
        </w:rPr>
        <w:t>项；详见附件3</w:t>
      </w:r>
      <w:r>
        <w:rPr>
          <w:rFonts w:hint="eastAsia" w:ascii="Times New Roman" w:hAnsi="Times New Roman" w:cs="Times New Roman"/>
          <w:color w:val="000000" w:themeColor="text1"/>
          <w:sz w:val="28"/>
          <w:lang w:val="en-US" w:eastAsia="zh-CN"/>
          <w14:textFill>
            <w14:solidFill>
              <w14:schemeClr w14:val="tx1"/>
            </w14:solidFill>
          </w14:textFill>
        </w:rPr>
        <w:t>。</w:t>
      </w:r>
    </w:p>
    <w:p>
      <w:pPr>
        <w:spacing w:line="360" w:lineRule="auto"/>
        <w:ind w:firstLine="560" w:firstLineChars="200"/>
        <w:jc w:val="left"/>
        <w:rPr>
          <w:rFonts w:hint="eastAsia"/>
          <w:color w:val="000000" w:themeColor="text1"/>
          <w:lang w:val="en-US" w:eastAsia="zh-CN"/>
          <w14:textFill>
            <w14:solidFill>
              <w14:schemeClr w14:val="tx1"/>
            </w14:solidFill>
          </w14:textFill>
        </w:rPr>
      </w:pPr>
      <w:r>
        <w:rPr>
          <w:rFonts w:hint="eastAsia" w:ascii="Times New Roman" w:hAnsi="Times New Roman" w:cs="Times New Roman"/>
          <w:color w:val="000000" w:themeColor="text1"/>
          <w:sz w:val="28"/>
          <w:lang w:val="en-US" w:eastAsia="zh-CN"/>
          <w14:textFill>
            <w14:solidFill>
              <w14:schemeClr w14:val="tx1"/>
            </w14:solidFill>
          </w14:textFill>
        </w:rPr>
        <w:t>（2）</w:t>
      </w:r>
      <w:r>
        <w:rPr>
          <w:rFonts w:hint="eastAsia" w:ascii="Times New Roman" w:hAnsi="Times New Roman" w:cs="Times New Roman"/>
          <w:snapToGrid/>
          <w:color w:val="000000" w:themeColor="text1"/>
          <w:w w:val="100"/>
          <w:kern w:val="2"/>
          <w:sz w:val="28"/>
          <w:szCs w:val="28"/>
          <w:lang w:val="en-US" w:eastAsia="zh-CN"/>
          <w14:textFill>
            <w14:solidFill>
              <w14:schemeClr w14:val="tx1"/>
            </w14:solidFill>
          </w14:textFill>
        </w:rPr>
        <w:t>作业条件危险性分析法评价：</w:t>
      </w:r>
      <w:r>
        <w:rPr>
          <w:rFonts w:hint="eastAsia" w:ascii="宋体" w:hAnsi="宋体" w:cs="Times New Roman"/>
          <w:color w:val="000000" w:themeColor="text1"/>
          <w:sz w:val="28"/>
          <w:szCs w:val="28"/>
          <w:lang w:val="en-US" w:eastAsia="zh-CN"/>
          <w14:textFill>
            <w14:solidFill>
              <w14:schemeClr w14:val="tx1"/>
            </w14:solidFill>
          </w14:textFill>
        </w:rPr>
        <w:t>水解精制作业</w:t>
      </w:r>
      <w:r>
        <w:rPr>
          <w:rFonts w:hint="eastAsia" w:ascii="宋体" w:hAnsi="宋体" w:cs="Times New Roman"/>
          <w:color w:val="000000" w:themeColor="text1"/>
          <w:sz w:val="28"/>
          <w:szCs w:val="28"/>
          <w:lang w:eastAsia="zh-CN"/>
          <w14:textFill>
            <w14:solidFill>
              <w14:schemeClr w14:val="tx1"/>
            </w14:solidFill>
          </w14:textFill>
        </w:rPr>
        <w:t>、</w:t>
      </w:r>
      <w:r>
        <w:rPr>
          <w:rFonts w:hint="eastAsia" w:ascii="Times New Roman" w:hAnsi="宋体" w:cs="Times New Roman"/>
          <w:color w:val="000000" w:themeColor="text1"/>
          <w:sz w:val="28"/>
          <w:szCs w:val="28"/>
          <w:lang w:val="en-US" w:eastAsia="zh-CN"/>
          <w14:textFill>
            <w14:solidFill>
              <w14:schemeClr w14:val="tx1"/>
            </w14:solidFill>
          </w14:textFill>
        </w:rPr>
        <w:t>配酸作业、司炉作业和</w:t>
      </w:r>
      <w:r>
        <w:rPr>
          <w:rFonts w:hint="eastAsia" w:ascii="宋体" w:hAnsi="宋体" w:cs="Times New Roman"/>
          <w:color w:val="000000" w:themeColor="text1"/>
          <w:sz w:val="28"/>
          <w:szCs w:val="28"/>
          <w:lang w:val="en-US" w:eastAsia="zh-CN"/>
          <w14:textFill>
            <w14:solidFill>
              <w14:schemeClr w14:val="tx1"/>
            </w14:solidFill>
          </w14:textFill>
        </w:rPr>
        <w:t>装卸运输作业</w:t>
      </w:r>
      <w:r>
        <w:rPr>
          <w:rFonts w:hint="eastAsia" w:ascii="宋体" w:hAnsi="宋体" w:cs="Times New Roman"/>
          <w:color w:val="000000" w:themeColor="text1"/>
          <w:sz w:val="28"/>
          <w:szCs w:val="28"/>
          <w14:textFill>
            <w14:solidFill>
              <w14:schemeClr w14:val="tx1"/>
            </w14:solidFill>
          </w14:textFill>
        </w:rPr>
        <w:t>固有危险程度为</w:t>
      </w:r>
      <w:r>
        <w:rPr>
          <w:rFonts w:hint="eastAsia" w:ascii="宋体" w:hAnsi="宋体" w:cs="Times New Roman"/>
          <w:color w:val="000000" w:themeColor="text1"/>
          <w:sz w:val="28"/>
          <w:szCs w:val="28"/>
          <w:lang w:val="en-US" w:eastAsia="zh-CN"/>
          <w14:textFill>
            <w14:solidFill>
              <w14:schemeClr w14:val="tx1"/>
            </w14:solidFill>
          </w14:textFill>
        </w:rPr>
        <w:t>比较危险，需要注意，</w:t>
      </w:r>
      <w:r>
        <w:rPr>
          <w:rFonts w:hint="eastAsia" w:ascii="Times New Roman" w:hAnsi="宋体" w:cs="Times New Roman"/>
          <w:color w:val="000000" w:themeColor="text1"/>
          <w:sz w:val="28"/>
          <w:szCs w:val="28"/>
          <w:lang w:val="en-US" w:eastAsia="zh-CN"/>
          <w14:textFill>
            <w14:solidFill>
              <w14:schemeClr w14:val="tx1"/>
            </w14:solidFill>
          </w14:textFill>
        </w:rPr>
        <w:t>应</w:t>
      </w:r>
      <w:r>
        <w:rPr>
          <w:rFonts w:hint="eastAsia" w:ascii="宋体" w:hAnsi="宋体" w:cs="Times New Roman"/>
          <w:color w:val="000000" w:themeColor="text1"/>
          <w:sz w:val="28"/>
          <w:szCs w:val="28"/>
          <w:lang w:val="en-US" w:eastAsia="zh-CN"/>
          <w14:textFill>
            <w14:solidFill>
              <w14:schemeClr w14:val="tx1"/>
            </w14:solidFill>
          </w14:textFill>
        </w:rPr>
        <w:t>严格执行安全操作规程；粉碎作业</w:t>
      </w:r>
      <w:r>
        <w:rPr>
          <w:rFonts w:hint="eastAsia" w:ascii="Times New Roman" w:hAnsi="宋体" w:cs="Times New Roman"/>
          <w:color w:val="000000" w:themeColor="text1"/>
          <w:sz w:val="28"/>
          <w:szCs w:val="28"/>
          <w:lang w:val="en-US" w:eastAsia="zh-CN"/>
          <w14:textFill>
            <w14:solidFill>
              <w14:schemeClr w14:val="tx1"/>
            </w14:solidFill>
          </w14:textFill>
        </w:rPr>
        <w:t>、排渣作业</w:t>
      </w:r>
      <w:r>
        <w:rPr>
          <w:rFonts w:hint="eastAsia" w:ascii="宋体" w:hAnsi="宋体" w:cs="Times New Roman"/>
          <w:color w:val="000000" w:themeColor="text1"/>
          <w:sz w:val="28"/>
          <w:szCs w:val="28"/>
          <w14:textFill>
            <w14:solidFill>
              <w14:schemeClr w14:val="tx1"/>
            </w14:solidFill>
          </w14:textFill>
        </w:rPr>
        <w:t>固有危险程度为稍有危险，可以接受。</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10" w:name="_Toc32499_WPSOffice_Level2"/>
      <w:bookmarkStart w:id="111" w:name="_Toc18837_WPSOffice_Level2"/>
      <w:bookmarkStart w:id="112" w:name="_Toc24670"/>
      <w:r>
        <w:rPr>
          <w:rFonts w:hint="eastAsia" w:ascii="楷体" w:hAnsi="楷体" w:eastAsia="楷体" w:cs="楷体"/>
          <w:b w:val="0"/>
          <w:bCs/>
          <w:kern w:val="2"/>
          <w:sz w:val="32"/>
          <w:szCs w:val="32"/>
          <w:lang w:val="en-US" w:eastAsia="zh-CN"/>
        </w:rPr>
        <w:t>重大危险源的确定</w:t>
      </w:r>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sz w:val="28"/>
          <w:lang w:eastAsia="zh-CN"/>
        </w:rPr>
      </w:pPr>
      <w:r>
        <w:rPr>
          <w:rFonts w:hint="eastAsia" w:cs="Times New Roman"/>
          <w:color w:val="000000"/>
          <w:sz w:val="28"/>
          <w:lang w:eastAsia="zh-CN"/>
        </w:rPr>
        <w:t>该企业</w:t>
      </w:r>
      <w:r>
        <w:rPr>
          <w:rFonts w:hint="eastAsia" w:ascii="Times New Roman" w:hAnsi="Times New Roman" w:eastAsia="宋体" w:cs="Times New Roman"/>
          <w:color w:val="000000"/>
          <w:sz w:val="28"/>
          <w:lang w:eastAsia="zh-CN"/>
        </w:rPr>
        <w:t>未构成危险化学品重大危险源，具体重大危险源辨识过程详见附件2。</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13" w:name="_Toc532977003"/>
      <w:bookmarkStart w:id="114" w:name="_Toc24779_WPSOffice_Level2"/>
      <w:bookmarkStart w:id="115" w:name="_Toc22380"/>
      <w:bookmarkStart w:id="116" w:name="_Toc9022_WPSOffice_Level2"/>
      <w:bookmarkStart w:id="117" w:name="_Toc16824_WPSOffice_Level2"/>
      <w:bookmarkStart w:id="118" w:name="_Toc532977004"/>
      <w:bookmarkStart w:id="119" w:name="_Toc27542_WPSOffice_Level2"/>
      <w:r>
        <w:rPr>
          <w:rFonts w:hint="eastAsia" w:ascii="楷体" w:hAnsi="楷体" w:eastAsia="楷体" w:cs="楷体"/>
          <w:b w:val="0"/>
          <w:bCs/>
          <w:kern w:val="2"/>
          <w:sz w:val="32"/>
          <w:szCs w:val="32"/>
          <w:lang w:val="en-US" w:eastAsia="zh-CN"/>
        </w:rPr>
        <w:t>重大生产安全事故隐患判定结果</w:t>
      </w:r>
      <w:bookmarkEnd w:id="113"/>
      <w:bookmarkEnd w:id="114"/>
      <w:bookmarkEnd w:id="115"/>
      <w:bookmarkEnd w:id="116"/>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sz w:val="28"/>
          <w:lang w:eastAsia="zh-CN"/>
        </w:rPr>
      </w:pPr>
      <w:r>
        <w:rPr>
          <w:rFonts w:hint="eastAsia" w:cs="Times New Roman"/>
          <w:color w:val="000000"/>
          <w:sz w:val="28"/>
          <w:lang w:eastAsia="zh-CN"/>
        </w:rPr>
        <w:t>该企业</w:t>
      </w:r>
      <w:r>
        <w:rPr>
          <w:rFonts w:hint="eastAsia" w:ascii="Times New Roman" w:hAnsi="Times New Roman" w:eastAsia="宋体" w:cs="Times New Roman"/>
          <w:color w:val="000000"/>
          <w:sz w:val="28"/>
          <w:lang w:eastAsia="zh-CN"/>
        </w:rPr>
        <w:t>无重大生产安全事故隐患。具体判定过程见附件</w:t>
      </w:r>
      <w:r>
        <w:rPr>
          <w:rFonts w:hint="eastAsia" w:ascii="Times New Roman" w:hAnsi="Times New Roman" w:eastAsia="宋体" w:cs="Times New Roman"/>
          <w:color w:val="000000"/>
          <w:sz w:val="28"/>
          <w:lang w:val="en-US" w:eastAsia="zh-CN"/>
        </w:rPr>
        <w:t>6</w:t>
      </w:r>
      <w:r>
        <w:rPr>
          <w:rFonts w:hint="eastAsia" w:ascii="Times New Roman" w:hAnsi="Times New Roman" w:eastAsia="宋体" w:cs="Times New Roman"/>
          <w:color w:val="000000"/>
          <w:sz w:val="28"/>
          <w:lang w:eastAsia="zh-CN"/>
        </w:rPr>
        <w:t>。</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20" w:name="_Toc27477"/>
      <w:r>
        <w:rPr>
          <w:rFonts w:hint="eastAsia" w:ascii="楷体" w:hAnsi="楷体" w:eastAsia="楷体" w:cs="楷体"/>
          <w:b w:val="0"/>
          <w:bCs/>
          <w:kern w:val="2"/>
          <w:sz w:val="32"/>
          <w:szCs w:val="32"/>
          <w:lang w:val="en-US" w:eastAsia="zh-CN"/>
        </w:rPr>
        <w:t>外部安全防护距离评价结果</w:t>
      </w:r>
      <w:bookmarkEnd w:id="117"/>
      <w:bookmarkEnd w:id="118"/>
      <w:bookmarkEnd w:id="119"/>
      <w:bookmarkEnd w:id="120"/>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sz w:val="28"/>
          <w:lang w:eastAsia="zh-CN"/>
        </w:rPr>
      </w:pPr>
      <w:r>
        <w:rPr>
          <w:rFonts w:hint="eastAsia" w:cs="Times New Roman"/>
          <w:color w:val="000000"/>
          <w:sz w:val="28"/>
          <w:lang w:eastAsia="zh-CN"/>
        </w:rPr>
        <w:t>该企业</w:t>
      </w:r>
      <w:r>
        <w:rPr>
          <w:rFonts w:hint="eastAsia" w:ascii="Times New Roman" w:hAnsi="Times New Roman" w:eastAsia="宋体" w:cs="Times New Roman"/>
          <w:color w:val="000000"/>
          <w:sz w:val="28"/>
          <w:lang w:eastAsia="zh-CN"/>
        </w:rPr>
        <w:t>的外部安全防护距离满足规范要求，评价过程及结果见附件</w:t>
      </w:r>
      <w:r>
        <w:rPr>
          <w:rFonts w:hint="eastAsia" w:ascii="Times New Roman" w:hAnsi="Times New Roman" w:eastAsia="宋体" w:cs="Times New Roman"/>
          <w:color w:val="000000"/>
          <w:sz w:val="28"/>
          <w:lang w:val="en-US" w:eastAsia="zh-CN"/>
        </w:rPr>
        <w:t>5</w:t>
      </w:r>
      <w:r>
        <w:rPr>
          <w:rFonts w:hint="eastAsia" w:ascii="Times New Roman" w:hAnsi="Times New Roman" w:eastAsia="宋体" w:cs="Times New Roman"/>
          <w:color w:val="000000"/>
          <w:sz w:val="28"/>
          <w:lang w:eastAsia="zh-CN"/>
        </w:rPr>
        <w:t>。</w:t>
      </w:r>
    </w:p>
    <w:p>
      <w:pPr>
        <w:pStyle w:val="71"/>
        <w:spacing w:line="360" w:lineRule="auto"/>
        <w:ind w:firstLine="560" w:firstLineChars="200"/>
        <w:rPr>
          <w:rFonts w:hint="eastAsia" w:ascii="宋体" w:hAnsi="宋体" w:eastAsia="宋体" w:cs="宋体"/>
          <w:color w:val="auto"/>
          <w:sz w:val="28"/>
          <w:szCs w:val="28"/>
        </w:rPr>
      </w:pPr>
    </w:p>
    <w:p>
      <w:pPr>
        <w:pStyle w:val="71"/>
        <w:spacing w:line="360" w:lineRule="auto"/>
        <w:ind w:firstLine="560" w:firstLineChars="200"/>
        <w:rPr>
          <w:rFonts w:hint="eastAsia" w:ascii="宋体" w:hAnsi="宋体" w:eastAsia="宋体" w:cs="宋体"/>
          <w:color w:val="auto"/>
          <w:sz w:val="28"/>
          <w:szCs w:val="28"/>
        </w:rPr>
      </w:pPr>
    </w:p>
    <w:p>
      <w:pPr>
        <w:pStyle w:val="71"/>
        <w:spacing w:line="360" w:lineRule="auto"/>
        <w:ind w:firstLine="560" w:firstLineChars="200"/>
        <w:rPr>
          <w:rFonts w:hint="eastAsia" w:ascii="宋体" w:hAnsi="宋体" w:eastAsia="宋体" w:cs="宋体"/>
          <w:color w:val="auto"/>
          <w:sz w:val="28"/>
          <w:szCs w:val="28"/>
        </w:rPr>
      </w:pPr>
    </w:p>
    <w:p>
      <w:pPr>
        <w:pStyle w:val="71"/>
        <w:spacing w:line="360" w:lineRule="auto"/>
        <w:ind w:firstLine="560" w:firstLineChars="200"/>
        <w:rPr>
          <w:rFonts w:hint="eastAsia" w:ascii="宋体" w:hAnsi="宋体" w:eastAsia="宋体" w:cs="宋体"/>
          <w:color w:val="auto"/>
          <w:sz w:val="28"/>
          <w:szCs w:val="28"/>
        </w:rPr>
      </w:pPr>
    </w:p>
    <w:p>
      <w:pPr>
        <w:pStyle w:val="71"/>
        <w:spacing w:line="360" w:lineRule="auto"/>
        <w:ind w:firstLine="560" w:firstLineChars="200"/>
        <w:rPr>
          <w:rFonts w:hint="eastAsia" w:ascii="宋体" w:hAnsi="宋体" w:eastAsia="宋体" w:cs="宋体"/>
          <w:color w:val="auto"/>
          <w:sz w:val="28"/>
          <w:szCs w:val="28"/>
        </w:rPr>
      </w:pPr>
    </w:p>
    <w:p>
      <w:pPr>
        <w:rPr>
          <w:rFonts w:hint="eastAsia" w:ascii="Times New Roman" w:hAnsi="Times New Roman" w:eastAsia="黑体" w:cs="Times New Roman"/>
          <w:b w:val="0"/>
          <w:bCs/>
          <w:sz w:val="32"/>
          <w:szCs w:val="32"/>
        </w:rPr>
      </w:pPr>
      <w:bookmarkStart w:id="121" w:name="_Toc16995_WPSOffice_Level1"/>
      <w:bookmarkStart w:id="122" w:name="_Toc15890"/>
      <w:bookmarkStart w:id="123" w:name="_Toc21047_WPSOffice_Level1"/>
      <w:bookmarkStart w:id="124" w:name="_Toc532977005"/>
      <w:bookmarkStart w:id="125" w:name="_Toc23132_WPSOffice_Level1"/>
      <w:r>
        <w:rPr>
          <w:rFonts w:hint="eastAsia" w:ascii="Times New Roman" w:hAnsi="Times New Roman" w:eastAsia="黑体" w:cs="Times New Roman"/>
          <w:b w:val="0"/>
          <w:bCs/>
          <w:sz w:val="32"/>
          <w:szCs w:val="32"/>
        </w:rPr>
        <w:br w:type="page"/>
      </w: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r>
        <w:rPr>
          <w:rFonts w:hint="eastAsia" w:ascii="Times New Roman" w:hAnsi="Times New Roman" w:eastAsia="黑体" w:cs="Times New Roman"/>
          <w:b w:val="0"/>
          <w:bCs/>
          <w:sz w:val="32"/>
          <w:szCs w:val="32"/>
        </w:rPr>
        <w:t>可能发生的危险化学品事故的预测结果</w:t>
      </w:r>
      <w:bookmarkEnd w:id="121"/>
      <w:bookmarkEnd w:id="122"/>
      <w:bookmarkEnd w:id="123"/>
      <w:bookmarkEnd w:id="124"/>
      <w:bookmarkEnd w:id="12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sz w:val="28"/>
          <w:lang w:eastAsia="zh-CN"/>
        </w:rPr>
      </w:pPr>
      <w:r>
        <w:rPr>
          <w:rFonts w:hint="eastAsia" w:ascii="Times New Roman" w:hAnsi="Times New Roman" w:eastAsia="宋体" w:cs="Times New Roman"/>
          <w:color w:val="000000"/>
          <w:sz w:val="28"/>
          <w:lang w:eastAsia="zh-CN"/>
        </w:rPr>
        <w:t>在生产过程中，最可能发生并引发严重后果的危险化学品事故是火灾事故，一旦发生可能会造成人员伤亡和财产损失。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sz w:val="28"/>
          <w:lang w:val="en-US" w:eastAsia="zh-CN"/>
        </w:rPr>
      </w:pPr>
      <w:r>
        <w:rPr>
          <w:rFonts w:hint="eastAsia" w:ascii="Times New Roman" w:hAnsi="Times New Roman" w:eastAsia="宋体" w:cs="Times New Roman"/>
          <w:color w:val="000000"/>
          <w:sz w:val="28"/>
          <w:lang w:val="en-US" w:eastAsia="zh-CN"/>
        </w:rPr>
        <w:t>成品罐区设有1</w:t>
      </w:r>
      <w:r>
        <w:rPr>
          <w:rFonts w:hint="eastAsia" w:cs="Times New Roman"/>
          <w:color w:val="000000"/>
          <w:sz w:val="28"/>
          <w:lang w:val="en-US" w:eastAsia="zh-CN"/>
        </w:rPr>
        <w:t>0</w:t>
      </w:r>
      <w:r>
        <w:rPr>
          <w:rFonts w:hint="eastAsia" w:ascii="Times New Roman" w:hAnsi="Times New Roman" w:eastAsia="宋体" w:cs="Times New Roman"/>
          <w:color w:val="000000"/>
          <w:sz w:val="28"/>
          <w:lang w:val="en-US" w:eastAsia="zh-CN"/>
        </w:rPr>
        <w:t>0m</w:t>
      </w:r>
      <w:r>
        <w:rPr>
          <w:rFonts w:hint="eastAsia" w:ascii="Times New Roman" w:hAnsi="Times New Roman" w:eastAsia="宋体" w:cs="Times New Roman"/>
          <w:color w:val="000000"/>
          <w:sz w:val="28"/>
          <w:vertAlign w:val="superscript"/>
          <w:lang w:val="en-US" w:eastAsia="zh-CN"/>
        </w:rPr>
        <w:t>3</w:t>
      </w:r>
      <w:r>
        <w:rPr>
          <w:rFonts w:hint="eastAsia" w:ascii="Times New Roman" w:hAnsi="Times New Roman" w:eastAsia="宋体" w:cs="Times New Roman"/>
          <w:color w:val="000000"/>
          <w:sz w:val="28"/>
          <w:lang w:val="en-US" w:eastAsia="zh-CN"/>
        </w:rPr>
        <w:t>糠醛储罐</w:t>
      </w:r>
      <w:r>
        <w:rPr>
          <w:rFonts w:hint="eastAsia" w:cs="Times New Roman"/>
          <w:color w:val="000000"/>
          <w:sz w:val="28"/>
          <w:lang w:val="en-US" w:eastAsia="zh-CN"/>
        </w:rPr>
        <w:t>一</w:t>
      </w:r>
      <w:r>
        <w:rPr>
          <w:rFonts w:hint="eastAsia" w:ascii="Times New Roman" w:hAnsi="Times New Roman" w:eastAsia="宋体" w:cs="Times New Roman"/>
          <w:color w:val="000000"/>
          <w:sz w:val="28"/>
          <w:lang w:val="en-US" w:eastAsia="zh-CN"/>
        </w:rPr>
        <w:t>座</w:t>
      </w:r>
      <w:r>
        <w:rPr>
          <w:rFonts w:hint="eastAsia" w:cs="Times New Roman"/>
          <w:color w:val="000000"/>
          <w:sz w:val="28"/>
          <w:lang w:val="en-US" w:eastAsia="zh-CN"/>
        </w:rPr>
        <w:t>和2</w:t>
      </w:r>
      <w:r>
        <w:rPr>
          <w:rFonts w:hint="eastAsia" w:ascii="Times New Roman" w:hAnsi="Times New Roman" w:eastAsia="宋体" w:cs="Times New Roman"/>
          <w:color w:val="000000"/>
          <w:sz w:val="28"/>
          <w:lang w:val="en-US" w:eastAsia="zh-CN"/>
        </w:rPr>
        <w:t>0m</w:t>
      </w:r>
      <w:r>
        <w:rPr>
          <w:rFonts w:hint="eastAsia" w:ascii="Times New Roman" w:hAnsi="Times New Roman" w:eastAsia="宋体" w:cs="Times New Roman"/>
          <w:color w:val="000000"/>
          <w:sz w:val="28"/>
          <w:vertAlign w:val="superscript"/>
          <w:lang w:val="en-US" w:eastAsia="zh-CN"/>
        </w:rPr>
        <w:t>3</w:t>
      </w:r>
      <w:r>
        <w:rPr>
          <w:rFonts w:hint="eastAsia" w:ascii="Times New Roman" w:hAnsi="Times New Roman" w:eastAsia="宋体" w:cs="Times New Roman"/>
          <w:color w:val="000000"/>
          <w:sz w:val="28"/>
          <w:lang w:val="en-US" w:eastAsia="zh-CN"/>
        </w:rPr>
        <w:t>糠醛储罐</w:t>
      </w:r>
      <w:r>
        <w:rPr>
          <w:rFonts w:hint="eastAsia" w:cs="Times New Roman"/>
          <w:color w:val="000000"/>
          <w:sz w:val="28"/>
          <w:lang w:val="en-US" w:eastAsia="zh-CN"/>
        </w:rPr>
        <w:t>两</w:t>
      </w:r>
      <w:r>
        <w:rPr>
          <w:rFonts w:hint="eastAsia" w:ascii="Times New Roman" w:hAnsi="Times New Roman" w:eastAsia="宋体" w:cs="Times New Roman"/>
          <w:color w:val="000000"/>
          <w:sz w:val="28"/>
          <w:lang w:val="en-US" w:eastAsia="zh-CN"/>
        </w:rPr>
        <w:t>座，</w:t>
      </w:r>
      <w:r>
        <w:rPr>
          <w:rFonts w:hint="eastAsia" w:cs="Times New Roman"/>
          <w:color w:val="000000"/>
          <w:sz w:val="28"/>
          <w:lang w:val="en-US" w:eastAsia="zh-CN"/>
        </w:rPr>
        <w:t>最大储罐</w:t>
      </w:r>
      <w:r>
        <w:rPr>
          <w:rFonts w:hint="eastAsia" w:ascii="Times New Roman" w:hAnsi="Times New Roman" w:eastAsia="宋体" w:cs="Times New Roman"/>
          <w:color w:val="000000"/>
          <w:sz w:val="28"/>
          <w:lang w:val="en-US" w:eastAsia="zh-CN"/>
        </w:rPr>
        <w:t>糠醛储量</w:t>
      </w:r>
      <w:r>
        <w:rPr>
          <w:rFonts w:hint="eastAsia" w:cs="Times New Roman"/>
          <w:color w:val="000000"/>
          <w:sz w:val="28"/>
          <w:lang w:val="en-US" w:eastAsia="zh-CN"/>
        </w:rPr>
        <w:t>约</w:t>
      </w:r>
      <w:r>
        <w:rPr>
          <w:rFonts w:hint="eastAsia" w:ascii="Times New Roman" w:hAnsi="Times New Roman" w:eastAsia="宋体" w:cs="Times New Roman"/>
          <w:color w:val="000000"/>
          <w:sz w:val="28"/>
          <w:lang w:val="en-US" w:eastAsia="zh-CN"/>
        </w:rPr>
        <w:t>为</w:t>
      </w:r>
      <w:r>
        <w:rPr>
          <w:rFonts w:hint="eastAsia" w:cs="Times New Roman"/>
          <w:color w:val="000000"/>
          <w:sz w:val="28"/>
          <w:lang w:val="en-US" w:eastAsia="zh-CN"/>
        </w:rPr>
        <w:t>114</w:t>
      </w:r>
      <w:r>
        <w:rPr>
          <w:rFonts w:hint="eastAsia" w:ascii="Times New Roman" w:hAnsi="Times New Roman" w:eastAsia="宋体" w:cs="Times New Roman"/>
          <w:color w:val="000000"/>
          <w:sz w:val="28"/>
          <w:lang w:val="en-US" w:eastAsia="zh-CN"/>
        </w:rPr>
        <w:t>t，糠醛燃烧热为2338.7kJ/mol，若糠醛储罐发生泄漏引发火灾，将会放出</w:t>
      </w:r>
      <w:r>
        <w:rPr>
          <w:rFonts w:hint="eastAsia" w:cs="Times New Roman"/>
          <w:color w:val="000000"/>
          <w:sz w:val="28"/>
          <w:lang w:val="en-US" w:eastAsia="zh-CN"/>
        </w:rPr>
        <w:t>2.5312</w:t>
      </w:r>
      <w:r>
        <w:rPr>
          <w:rFonts w:hint="eastAsia" w:ascii="Times New Roman" w:hAnsi="Times New Roman" w:eastAsia="宋体" w:cs="Times New Roman"/>
          <w:color w:val="000000"/>
          <w:sz w:val="28"/>
          <w:lang w:val="en-US" w:eastAsia="zh-CN"/>
        </w:rPr>
        <w:t>×10</w:t>
      </w:r>
      <w:r>
        <w:rPr>
          <w:rFonts w:hint="eastAsia" w:ascii="Times New Roman" w:hAnsi="Times New Roman" w:eastAsia="宋体" w:cs="Times New Roman"/>
          <w:color w:val="000000"/>
          <w:sz w:val="28"/>
          <w:vertAlign w:val="superscript"/>
          <w:lang w:val="en-US" w:eastAsia="zh-CN"/>
        </w:rPr>
        <w:t>9</w:t>
      </w:r>
      <w:r>
        <w:rPr>
          <w:rFonts w:hint="eastAsia" w:ascii="Times New Roman" w:hAnsi="Times New Roman" w:eastAsia="宋体" w:cs="Times New Roman"/>
          <w:color w:val="000000"/>
          <w:sz w:val="28"/>
          <w:lang w:val="en-US" w:eastAsia="zh-CN"/>
        </w:rPr>
        <w:t>kJ的热量。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sz w:val="28"/>
          <w:lang w:eastAsia="zh-CN"/>
        </w:rPr>
      </w:pPr>
      <w:r>
        <w:rPr>
          <w:rFonts w:hint="eastAsia" w:ascii="Times New Roman" w:hAnsi="Times New Roman" w:eastAsia="宋体" w:cs="Times New Roman"/>
          <w:color w:val="000000"/>
          <w:sz w:val="28"/>
          <w:lang w:eastAsia="zh-CN"/>
        </w:rPr>
        <w:t>为预防火灾事故的发生，应采取如下防范措施：①生产设备（设施）要采用合格产品，并保证安装质量，经检验合格后才能投入使用；②建、构筑物间要有足够的防火间距和通风条件；③对糠醛气体浓度进行检测、报警和控制；④生产储存区域配备充足的灭火器材，现场操作人员会使用；⑤装置及所有导电部件要有可靠的防雷接地和防静电接地；⑥加强安全管理，杜绝违章操作、违章指挥；制定应急预案，落实应急救援措施，定期进行演练。</w:t>
      </w:r>
    </w:p>
    <w:p>
      <w:pPr>
        <w:pStyle w:val="24"/>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left="0" w:leftChars="0" w:firstLine="0" w:firstLineChars="0"/>
        <w:jc w:val="both"/>
        <w:textAlignment w:val="top"/>
        <w:outlineLvl w:val="9"/>
        <w:rPr>
          <w:rFonts w:hint="eastAsia" w:ascii="Times New Roman" w:hAnsi="Times New Roman" w:eastAsia="宋体" w:cs="Times New Roman"/>
          <w:color w:val="000000"/>
          <w:sz w:val="28"/>
          <w:lang w:eastAsia="zh-CN"/>
        </w:rPr>
      </w:pPr>
    </w:p>
    <w:p>
      <w:pPr>
        <w:pStyle w:val="45"/>
        <w:rPr>
          <w:rFonts w:hint="eastAsia" w:ascii="Times New Roman" w:hAnsi="Times New Roman" w:eastAsia="宋体" w:cs="Times New Roman"/>
          <w:color w:val="000000"/>
          <w:sz w:val="28"/>
          <w:lang w:eastAsia="zh-CN"/>
        </w:rPr>
      </w:pPr>
    </w:p>
    <w:p>
      <w:pPr>
        <w:rPr>
          <w:rFonts w:hint="eastAsia" w:ascii="Times New Roman" w:hAnsi="Times New Roman" w:eastAsia="宋体" w:cs="Times New Roman"/>
          <w:color w:val="000000"/>
          <w:sz w:val="28"/>
          <w:lang w:eastAsia="zh-CN"/>
        </w:rPr>
      </w:pPr>
    </w:p>
    <w:p>
      <w:pPr>
        <w:pStyle w:val="24"/>
        <w:rPr>
          <w:rFonts w:hint="eastAsia" w:ascii="Times New Roman" w:hAnsi="Times New Roman" w:eastAsia="宋体" w:cs="Times New Roman"/>
          <w:color w:val="000000"/>
          <w:sz w:val="28"/>
          <w:lang w:eastAsia="zh-CN"/>
        </w:rPr>
      </w:pPr>
    </w:p>
    <w:p>
      <w:pPr>
        <w:pStyle w:val="45"/>
        <w:rPr>
          <w:rFonts w:hint="eastAsia" w:ascii="Times New Roman" w:hAnsi="Times New Roman" w:eastAsia="宋体" w:cs="Times New Roman"/>
          <w:color w:val="000000"/>
          <w:sz w:val="28"/>
          <w:lang w:eastAsia="zh-CN"/>
        </w:rPr>
      </w:pPr>
    </w:p>
    <w:p>
      <w:pPr>
        <w:rPr>
          <w:rFonts w:hint="eastAsia" w:ascii="Times New Roman" w:hAnsi="Times New Roman" w:eastAsia="宋体" w:cs="Times New Roman"/>
          <w:color w:val="000000"/>
          <w:sz w:val="28"/>
          <w:lang w:eastAsia="zh-CN"/>
        </w:rPr>
      </w:pPr>
    </w:p>
    <w:p>
      <w:pPr>
        <w:pStyle w:val="24"/>
        <w:rPr>
          <w:rFonts w:hint="eastAsia" w:ascii="Times New Roman" w:hAnsi="Times New Roman" w:eastAsia="宋体" w:cs="Times New Roman"/>
          <w:color w:val="000000"/>
          <w:sz w:val="28"/>
          <w:lang w:eastAsia="zh-CN"/>
        </w:rPr>
      </w:pPr>
    </w:p>
    <w:p>
      <w:pPr>
        <w:pStyle w:val="45"/>
        <w:rPr>
          <w:rFonts w:hint="eastAsia"/>
          <w:lang w:eastAsia="zh-CN"/>
        </w:rPr>
      </w:pP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126" w:name="_Toc5310_WPSOffice_Level1"/>
      <w:bookmarkStart w:id="127" w:name="_Toc28002"/>
      <w:bookmarkStart w:id="128" w:name="_Toc8747_WPSOffice_Level1"/>
      <w:bookmarkStart w:id="129" w:name="_Toc8512_WPSOffice_Level1"/>
      <w:bookmarkStart w:id="130" w:name="_Toc532977008"/>
      <w:r>
        <w:rPr>
          <w:rFonts w:hint="eastAsia" w:ascii="Times New Roman" w:hAnsi="Times New Roman" w:eastAsia="黑体" w:cs="Times New Roman"/>
          <w:b w:val="0"/>
          <w:bCs/>
          <w:sz w:val="32"/>
          <w:szCs w:val="32"/>
        </w:rPr>
        <w:t>安全对策措施与建议</w:t>
      </w:r>
      <w:bookmarkEnd w:id="126"/>
      <w:bookmarkEnd w:id="127"/>
      <w:bookmarkEnd w:id="128"/>
      <w:bookmarkEnd w:id="129"/>
      <w:bookmarkEnd w:id="130"/>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31" w:name="_Toc16191_WPSOffice_Level2"/>
      <w:bookmarkStart w:id="132" w:name="_Toc31964_WPSOffice_Level2"/>
      <w:bookmarkStart w:id="133" w:name="_Toc532977009"/>
      <w:bookmarkStart w:id="134" w:name="_Toc12297"/>
      <w:r>
        <w:rPr>
          <w:rFonts w:hint="eastAsia" w:ascii="楷体" w:hAnsi="楷体" w:eastAsia="楷体" w:cs="楷体"/>
          <w:b w:val="0"/>
          <w:bCs/>
          <w:kern w:val="2"/>
          <w:sz w:val="32"/>
          <w:szCs w:val="32"/>
          <w:lang w:val="en-US" w:eastAsia="zh-CN"/>
        </w:rPr>
        <w:t>存在的问题及安全对策措施</w:t>
      </w:r>
      <w:bookmarkEnd w:id="131"/>
      <w:bookmarkEnd w:id="132"/>
      <w:bookmarkEnd w:id="133"/>
      <w:bookmarkEnd w:id="134"/>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通过对</w:t>
      </w:r>
      <w:r>
        <w:rPr>
          <w:rFonts w:hint="eastAsia" w:cs="Times New Roman"/>
          <w:snapToGrid/>
          <w:color w:val="000000"/>
          <w:w w:val="100"/>
          <w:kern w:val="2"/>
          <w:sz w:val="28"/>
          <w:szCs w:val="28"/>
          <w:lang w:val="en-US" w:eastAsia="zh-CN"/>
        </w:rPr>
        <w:t>黑山鸿泰化工有限公司</w:t>
      </w:r>
      <w:r>
        <w:rPr>
          <w:rFonts w:hint="eastAsia" w:ascii="Times New Roman" w:hAnsi="Times New Roman" w:eastAsia="宋体" w:cs="Times New Roman"/>
          <w:snapToGrid/>
          <w:color w:val="000000"/>
          <w:w w:val="100"/>
          <w:kern w:val="2"/>
          <w:sz w:val="28"/>
          <w:szCs w:val="28"/>
          <w:lang w:val="en-US" w:eastAsia="zh-CN"/>
        </w:rPr>
        <w:t>的现场勘查，依据规范要求，对企业提出以下整改要求：</w:t>
      </w:r>
    </w:p>
    <w:p>
      <w:pPr>
        <w:pStyle w:val="24"/>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left="0" w:leftChars="0" w:firstLine="0" w:firstLineChars="0"/>
        <w:jc w:val="center"/>
        <w:textAlignment w:val="top"/>
        <w:outlineLvl w:val="9"/>
        <w:rPr>
          <w:rFonts w:hint="eastAsia" w:ascii="Times New Roman" w:hAnsi="Times New Roman" w:eastAsia="黑体" w:cs="Times New Roman"/>
          <w:b w:val="0"/>
          <w:bCs/>
          <w:color w:val="auto"/>
          <w:spacing w:val="0"/>
          <w:kern w:val="2"/>
          <w:sz w:val="21"/>
          <w:szCs w:val="21"/>
          <w:lang w:val="en-US" w:eastAsia="zh-CN" w:bidi="ar-SA"/>
        </w:rPr>
      </w:pPr>
      <w:r>
        <w:rPr>
          <w:rFonts w:hint="eastAsia" w:ascii="Times New Roman" w:hAnsi="Times New Roman" w:eastAsia="黑体" w:cs="Times New Roman"/>
          <w:b w:val="0"/>
          <w:bCs/>
          <w:color w:val="auto"/>
          <w:spacing w:val="0"/>
          <w:kern w:val="2"/>
          <w:sz w:val="21"/>
          <w:szCs w:val="21"/>
          <w:lang w:val="en-US" w:eastAsia="zh-CN" w:bidi="ar-SA"/>
        </w:rPr>
        <w:t>表7-1 现场存在问题及整改建议表</w:t>
      </w:r>
    </w:p>
    <w:tbl>
      <w:tblPr>
        <w:tblStyle w:val="37"/>
        <w:tblW w:w="91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60"/>
        <w:gridCol w:w="4259"/>
        <w:gridCol w:w="41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0" w:hRule="atLeast"/>
          <w:tblHeader/>
          <w:jc w:val="center"/>
        </w:trPr>
        <w:tc>
          <w:tcPr>
            <w:tcW w:w="760" w:type="dxa"/>
            <w:noWrap w:val="0"/>
            <w:vAlign w:val="center"/>
          </w:tcPr>
          <w:p>
            <w:pPr>
              <w:spacing w:line="240" w:lineRule="auto"/>
              <w:ind w:left="-108" w:right="-105" w:rightChars="-5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4259" w:type="dxa"/>
            <w:noWrap w:val="0"/>
            <w:vAlign w:val="center"/>
          </w:tcPr>
          <w:p>
            <w:pPr>
              <w:spacing w:line="240" w:lineRule="auto"/>
              <w:ind w:left="-108" w:right="-105" w:rightChars="-5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现场存在的问题</w:t>
            </w:r>
          </w:p>
        </w:tc>
        <w:tc>
          <w:tcPr>
            <w:tcW w:w="4143" w:type="dxa"/>
            <w:noWrap w:val="0"/>
            <w:vAlign w:val="center"/>
          </w:tcPr>
          <w:p>
            <w:pPr>
              <w:spacing w:line="240" w:lineRule="auto"/>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整改</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措施建议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60" w:type="dxa"/>
            <w:noWrap w:val="0"/>
            <w:vAlign w:val="center"/>
          </w:tcPr>
          <w:p>
            <w:pPr>
              <w:widowControl w:val="0"/>
              <w:numPr>
                <w:ilvl w:val="0"/>
                <w:numId w:val="14"/>
              </w:numPr>
              <w:spacing w:line="240" w:lineRule="auto"/>
              <w:ind w:left="425" w:leftChars="0" w:hanging="303"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259"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生产车间皮带输送机机头等未设防护罩。</w:t>
            </w:r>
          </w:p>
        </w:tc>
        <w:tc>
          <w:tcPr>
            <w:tcW w:w="4143"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生产车间皮带输送机机头等</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应</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设防护罩。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60" w:type="dxa"/>
            <w:noWrap w:val="0"/>
            <w:vAlign w:val="center"/>
          </w:tcPr>
          <w:p>
            <w:pPr>
              <w:widowControl w:val="0"/>
              <w:numPr>
                <w:ilvl w:val="0"/>
                <w:numId w:val="14"/>
              </w:numPr>
              <w:spacing w:line="240" w:lineRule="auto"/>
              <w:ind w:left="425" w:leftChars="0" w:hanging="303"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259"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精制车间外接区域电气设备不防爆。</w:t>
            </w:r>
          </w:p>
        </w:tc>
        <w:tc>
          <w:tcPr>
            <w:tcW w:w="4143"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精制车间外接区域</w:t>
            </w:r>
            <w:r>
              <w:rPr>
                <w:rFonts w:hint="eastAsia" w:cs="Times New Roman"/>
                <w:color w:val="000000" w:themeColor="text1"/>
                <w:kern w:val="2"/>
                <w:sz w:val="21"/>
                <w:szCs w:val="21"/>
                <w:lang w:val="en-US" w:eastAsia="zh-CN" w:bidi="ar-SA"/>
                <w14:textFill>
                  <w14:solidFill>
                    <w14:schemeClr w14:val="tx1"/>
                  </w14:solidFill>
                </w14:textFill>
              </w:rPr>
              <w:t>非防爆</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电气设备</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应改为</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防爆</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电气</w:t>
            </w:r>
            <w:r>
              <w:rPr>
                <w:rFonts w:hint="eastAsia" w:cs="Times New Roman"/>
                <w:color w:val="000000" w:themeColor="text1"/>
                <w:kern w:val="2"/>
                <w:sz w:val="21"/>
                <w:szCs w:val="21"/>
                <w:lang w:val="en-US" w:eastAsia="zh-CN" w:bidi="ar-SA"/>
                <w14:textFill>
                  <w14:solidFill>
                    <w14:schemeClr w14:val="tx1"/>
                  </w14:solidFill>
                </w14:textFill>
              </w:rPr>
              <w:t>或拆除</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60" w:type="dxa"/>
            <w:noWrap w:val="0"/>
            <w:vAlign w:val="center"/>
          </w:tcPr>
          <w:p>
            <w:pPr>
              <w:widowControl w:val="0"/>
              <w:numPr>
                <w:ilvl w:val="0"/>
                <w:numId w:val="14"/>
              </w:numPr>
              <w:spacing w:line="240" w:lineRule="auto"/>
              <w:ind w:left="425" w:leftChars="0" w:hanging="303"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25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生产车间精制工段可燃气体报警器数量不足。</w:t>
            </w:r>
          </w:p>
        </w:tc>
        <w:tc>
          <w:tcPr>
            <w:tcW w:w="414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生产车间精制工段</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应增设</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可燃气体报警器。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60" w:type="dxa"/>
            <w:noWrap w:val="0"/>
            <w:vAlign w:val="center"/>
          </w:tcPr>
          <w:p>
            <w:pPr>
              <w:widowControl w:val="0"/>
              <w:numPr>
                <w:ilvl w:val="0"/>
                <w:numId w:val="14"/>
              </w:numPr>
              <w:spacing w:line="240" w:lineRule="auto"/>
              <w:ind w:left="425" w:leftChars="0" w:hanging="303"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259" w:type="dxa"/>
            <w:noWrap w:val="0"/>
            <w:vAlign w:val="center"/>
          </w:tcPr>
          <w:p>
            <w:pPr>
              <w:spacing w:line="240" w:lineRule="auto"/>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车间部分压力表未设置最高工作压力红线。</w:t>
            </w:r>
          </w:p>
        </w:tc>
        <w:tc>
          <w:tcPr>
            <w:tcW w:w="4143" w:type="dxa"/>
            <w:noWrap w:val="0"/>
            <w:vAlign w:val="center"/>
          </w:tcPr>
          <w:p>
            <w:pPr>
              <w:spacing w:line="240" w:lineRule="auto"/>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压力表</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应</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设置最高工作压力红线。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60" w:type="dxa"/>
            <w:noWrap w:val="0"/>
            <w:vAlign w:val="center"/>
          </w:tcPr>
          <w:p>
            <w:pPr>
              <w:widowControl w:val="0"/>
              <w:numPr>
                <w:ilvl w:val="0"/>
                <w:numId w:val="14"/>
              </w:numPr>
              <w:spacing w:line="240" w:lineRule="auto"/>
              <w:ind w:left="425" w:leftChars="0" w:hanging="303"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4259"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管道缺少流向等安全标识。</w:t>
            </w:r>
          </w:p>
        </w:tc>
        <w:tc>
          <w:tcPr>
            <w:tcW w:w="4143"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管道</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应增设</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流向等安全标识。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60" w:type="dxa"/>
            <w:noWrap w:val="0"/>
            <w:vAlign w:val="center"/>
          </w:tcPr>
          <w:p>
            <w:pPr>
              <w:widowControl w:val="0"/>
              <w:numPr>
                <w:ilvl w:val="0"/>
                <w:numId w:val="14"/>
              </w:numPr>
              <w:spacing w:line="240" w:lineRule="auto"/>
              <w:ind w:left="425" w:leftChars="0" w:hanging="303" w:firstLineChars="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bookmarkStart w:id="135" w:name="_Toc24764"/>
          </w:p>
        </w:tc>
        <w:tc>
          <w:tcPr>
            <w:tcW w:w="4259" w:type="dxa"/>
            <w:noWrap w:val="0"/>
            <w:vAlign w:val="center"/>
          </w:tcPr>
          <w:p>
            <w:pPr>
              <w:spacing w:line="240" w:lineRule="auto"/>
              <w:jc w:val="both"/>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个别配电箱的控制柜门未做接地跨接。</w:t>
            </w:r>
          </w:p>
        </w:tc>
        <w:tc>
          <w:tcPr>
            <w:tcW w:w="4143" w:type="dxa"/>
            <w:noWrap w:val="0"/>
            <w:vAlign w:val="center"/>
          </w:tcPr>
          <w:p>
            <w:pPr>
              <w:spacing w:line="240" w:lineRule="auto"/>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配电箱的控制柜门</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应</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做接地跨接。</w:t>
            </w:r>
          </w:p>
        </w:tc>
      </w:tr>
    </w:tbl>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r>
        <w:rPr>
          <w:rFonts w:hint="eastAsia" w:ascii="楷体" w:hAnsi="楷体" w:eastAsia="楷体" w:cs="楷体"/>
          <w:b w:val="0"/>
          <w:bCs/>
          <w:kern w:val="2"/>
          <w:sz w:val="32"/>
          <w:szCs w:val="32"/>
          <w:lang w:val="en-US" w:eastAsia="zh-CN"/>
        </w:rPr>
        <w:t>其他安全对策措施及建议</w:t>
      </w:r>
      <w:bookmarkEnd w:id="135"/>
    </w:p>
    <w:p>
      <w:pPr>
        <w:spacing w:line="360" w:lineRule="auto"/>
        <w:ind w:firstLine="560" w:firstLineChars="200"/>
        <w:jc w:val="left"/>
        <w:rPr>
          <w:rFonts w:hint="eastAsia" w:ascii="Times New Roman" w:hAnsi="Times New Roman" w:eastAsia="宋体" w:cs="Times New Roman"/>
          <w:snapToGrid/>
          <w:color w:val="000000"/>
          <w:w w:val="100"/>
          <w:kern w:val="2"/>
          <w:sz w:val="28"/>
          <w:szCs w:val="28"/>
        </w:rPr>
      </w:pPr>
      <w:r>
        <w:rPr>
          <w:rFonts w:hint="eastAsia" w:ascii="Times New Roman" w:hAnsi="Times New Roman" w:eastAsia="宋体" w:cs="Times New Roman"/>
          <w:snapToGrid/>
          <w:color w:val="000000"/>
          <w:w w:val="100"/>
          <w:kern w:val="2"/>
          <w:sz w:val="28"/>
          <w:szCs w:val="28"/>
        </w:rPr>
        <w:t>为提高</w:t>
      </w:r>
      <w:r>
        <w:rPr>
          <w:rFonts w:hint="eastAsia" w:cs="Times New Roman"/>
          <w:snapToGrid/>
          <w:color w:val="000000"/>
          <w:w w:val="100"/>
          <w:kern w:val="2"/>
          <w:sz w:val="28"/>
          <w:szCs w:val="28"/>
          <w:lang w:eastAsia="zh-CN"/>
        </w:rPr>
        <w:t>黑山鸿泰化工有限公司</w:t>
      </w:r>
      <w:r>
        <w:rPr>
          <w:rFonts w:hint="eastAsia" w:ascii="Times New Roman" w:hAnsi="Times New Roman" w:eastAsia="宋体" w:cs="Times New Roman"/>
          <w:snapToGrid/>
          <w:color w:val="000000"/>
          <w:w w:val="100"/>
          <w:kern w:val="2"/>
          <w:sz w:val="28"/>
          <w:szCs w:val="28"/>
        </w:rPr>
        <w:t>的安全管理水平，实现生产安全，根据国家及地方有关法律、法规、规章、文件、标准、规范等相关要求，结合</w:t>
      </w:r>
      <w:r>
        <w:rPr>
          <w:rFonts w:hint="eastAsia" w:cs="Times New Roman"/>
          <w:snapToGrid/>
          <w:color w:val="000000"/>
          <w:w w:val="100"/>
          <w:kern w:val="2"/>
          <w:sz w:val="28"/>
          <w:szCs w:val="28"/>
          <w:lang w:eastAsia="zh-CN"/>
        </w:rPr>
        <w:t>黑山鸿泰化工有限公司</w:t>
      </w:r>
      <w:r>
        <w:rPr>
          <w:rFonts w:hint="eastAsia" w:ascii="Times New Roman" w:hAnsi="Times New Roman" w:eastAsia="宋体" w:cs="Times New Roman"/>
          <w:snapToGrid/>
          <w:color w:val="000000"/>
          <w:w w:val="100"/>
          <w:kern w:val="2"/>
          <w:sz w:val="28"/>
          <w:szCs w:val="28"/>
        </w:rPr>
        <w:t>的实际情况，提出以下安全建议：</w:t>
      </w:r>
    </w:p>
    <w:p>
      <w:pPr>
        <w:numPr>
          <w:ilvl w:val="0"/>
          <w:numId w:val="15"/>
        </w:numPr>
        <w:tabs>
          <w:tab w:val="left" w:pos="1106"/>
          <w:tab w:val="left" w:pos="1400"/>
        </w:tabs>
        <w:topLinePunct/>
        <w:adjustRightInd w:val="0"/>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bookmarkStart w:id="136" w:name="_Toc532977010"/>
      <w:r>
        <w:rPr>
          <w:rFonts w:hint="eastAsia" w:ascii="Times New Roman" w:hAnsi="Times New Roman" w:eastAsia="宋体" w:cs="Times New Roman"/>
          <w:snapToGrid/>
          <w:color w:val="000000"/>
          <w:w w:val="100"/>
          <w:kern w:val="2"/>
          <w:sz w:val="28"/>
          <w:szCs w:val="28"/>
          <w:lang w:val="en-US" w:eastAsia="zh-CN"/>
        </w:rPr>
        <w:t xml:space="preserve"> 建议企业加强关键设备的维护，定期监测关键设备的运行状况，采取适用的方法加强疲劳损坏部位的检测、监控；做好气体检测报警仪等强制检测设备的定期校对、检验工作，确保其完好，正常投用。建立健全关键设备技术档案，对存在问题进行跟踪、分析，从日常管理上做到隐患及时发现，问题及时整改，全面提高装置的运行管理水平。</w:t>
      </w:r>
    </w:p>
    <w:p>
      <w:pPr>
        <w:numPr>
          <w:ilvl w:val="0"/>
          <w:numId w:val="15"/>
        </w:numPr>
        <w:tabs>
          <w:tab w:val="left" w:pos="1106"/>
          <w:tab w:val="left" w:pos="1400"/>
        </w:tabs>
        <w:topLinePunct/>
        <w:adjustRightInd w:val="0"/>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 xml:space="preserve"> 强化动火、进入受限空间等特殊作业的安全管理，严格按照有关规定，严格条件确认、严格作业许可、严格现场监控，确保作业施工安全。</w:t>
      </w:r>
    </w:p>
    <w:p>
      <w:pPr>
        <w:numPr>
          <w:ilvl w:val="0"/>
          <w:numId w:val="15"/>
        </w:numPr>
        <w:tabs>
          <w:tab w:val="left" w:pos="1106"/>
          <w:tab w:val="left" w:pos="1400"/>
        </w:tabs>
        <w:topLinePunct/>
        <w:adjustRightInd w:val="0"/>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 xml:space="preserve"> 严寒、寒冷等冬季结冰地区的消防水池采取防冻措施。</w:t>
      </w:r>
    </w:p>
    <w:p>
      <w:pPr>
        <w:numPr>
          <w:ilvl w:val="0"/>
          <w:numId w:val="15"/>
        </w:numPr>
        <w:tabs>
          <w:tab w:val="left" w:pos="1106"/>
          <w:tab w:val="left" w:pos="1400"/>
        </w:tabs>
        <w:topLinePunct/>
        <w:adjustRightInd w:val="0"/>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 xml:space="preserve"> 建议玉米芯堆场划定堆场界限，严禁超界限储存。</w:t>
      </w:r>
    </w:p>
    <w:p>
      <w:pPr>
        <w:numPr>
          <w:ilvl w:val="0"/>
          <w:numId w:val="15"/>
        </w:numPr>
        <w:tabs>
          <w:tab w:val="left" w:pos="1106"/>
          <w:tab w:val="left" w:pos="1400"/>
        </w:tabs>
        <w:topLinePunct/>
        <w:adjustRightInd w:val="0"/>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 xml:space="preserve"> 硫酸属于第三类易制毒，加强对易制毒的安全管理。</w:t>
      </w:r>
    </w:p>
    <w:p>
      <w:pPr>
        <w:numPr>
          <w:ilvl w:val="0"/>
          <w:numId w:val="15"/>
        </w:numPr>
        <w:tabs>
          <w:tab w:val="left" w:pos="1106"/>
          <w:tab w:val="left" w:pos="1400"/>
        </w:tabs>
        <w:topLinePunct/>
        <w:adjustRightInd w:val="0"/>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 xml:space="preserve"> 加强员工的安全教育，作业人员应熟知危险化学品的危险、危害特性，掌握相关的应急处理能力。</w:t>
      </w: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p>
      <w:pPr>
        <w:pStyle w:val="21"/>
        <w:rPr>
          <w:rFonts w:hint="eastAsia" w:ascii="Times New Roman" w:hAnsi="Times New Roman" w:eastAsia="宋体" w:cs="Times New Roman"/>
          <w:snapToGrid/>
          <w:color w:val="000000"/>
          <w:w w:val="100"/>
          <w:kern w:val="2"/>
          <w:sz w:val="28"/>
          <w:szCs w:val="28"/>
          <w:lang w:val="en-US" w:eastAsia="zh-CN"/>
        </w:rPr>
      </w:pPr>
    </w:p>
    <w:bookmarkEnd w:id="136"/>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137" w:name="_Toc532977011"/>
      <w:bookmarkStart w:id="138" w:name="_Toc12823_WPSOffice_Level1"/>
      <w:bookmarkStart w:id="139" w:name="_Toc17163_WPSOffice_Level1"/>
      <w:bookmarkStart w:id="140" w:name="_Toc5987_WPSOffice_Level1"/>
      <w:bookmarkStart w:id="141" w:name="_Toc25947"/>
      <w:r>
        <w:rPr>
          <w:rFonts w:hint="eastAsia" w:ascii="Times New Roman" w:hAnsi="Times New Roman" w:eastAsia="黑体" w:cs="Times New Roman"/>
          <w:b w:val="0"/>
          <w:bCs/>
          <w:sz w:val="32"/>
          <w:szCs w:val="32"/>
        </w:rPr>
        <w:t>安全评价结论</w:t>
      </w:r>
      <w:bookmarkEnd w:id="137"/>
      <w:bookmarkEnd w:id="138"/>
      <w:bookmarkEnd w:id="139"/>
      <w:bookmarkEnd w:id="140"/>
      <w:bookmarkEnd w:id="141"/>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42" w:name="_Toc57915352"/>
      <w:bookmarkStart w:id="143" w:name="_Toc14849"/>
      <w:bookmarkStart w:id="144" w:name="_Toc17629"/>
      <w:bookmarkStart w:id="145" w:name="_Toc27869"/>
      <w:bookmarkStart w:id="146" w:name="_Toc23605"/>
      <w:bookmarkStart w:id="147" w:name="_Toc20809"/>
      <w:r>
        <w:rPr>
          <w:rFonts w:hint="default" w:ascii="楷体" w:hAnsi="楷体" w:eastAsia="楷体" w:cs="楷体"/>
          <w:b w:val="0"/>
          <w:bCs/>
          <w:kern w:val="2"/>
          <w:sz w:val="32"/>
          <w:szCs w:val="32"/>
          <w:lang w:val="en-US" w:eastAsia="zh-CN"/>
        </w:rPr>
        <w:t>符合性评价的综合结果</w:t>
      </w:r>
      <w:bookmarkEnd w:id="142"/>
      <w:bookmarkEnd w:id="143"/>
      <w:bookmarkEnd w:id="144"/>
      <w:bookmarkEnd w:id="145"/>
      <w:bookmarkEnd w:id="146"/>
      <w:bookmarkEnd w:id="147"/>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cs="Times New Roman"/>
          <w:snapToGrid/>
          <w:color w:val="000000"/>
          <w:w w:val="100"/>
          <w:kern w:val="2"/>
          <w:sz w:val="28"/>
          <w:szCs w:val="28"/>
          <w:lang w:val="en-US" w:eastAsia="zh-CN"/>
        </w:rPr>
        <w:t>黑山鸿泰化工有限公司</w:t>
      </w:r>
      <w:r>
        <w:rPr>
          <w:rFonts w:hint="eastAsia" w:ascii="Times New Roman" w:hAnsi="Times New Roman" w:eastAsia="宋体" w:cs="Times New Roman"/>
          <w:snapToGrid/>
          <w:color w:val="000000"/>
          <w:w w:val="100"/>
          <w:kern w:val="2"/>
          <w:sz w:val="28"/>
          <w:szCs w:val="28"/>
          <w:lang w:val="en-US" w:eastAsia="zh-CN"/>
        </w:rPr>
        <w:t>为危险化学品生产企业，通过对</w:t>
      </w: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的生产装置以及生产过程中原料、产品的危险、危害性进行分析，得出下列结论；</w:t>
      </w:r>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（1）</w:t>
      </w: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存在的主要危险有害因素为：火灾、爆炸、</w:t>
      </w:r>
      <w:r>
        <w:rPr>
          <w:rFonts w:hint="eastAsia"/>
          <w:sz w:val="28"/>
          <w:szCs w:val="28"/>
        </w:rPr>
        <w:t>压力容器爆炸、</w:t>
      </w:r>
      <w:r>
        <w:rPr>
          <w:rFonts w:hint="eastAsia" w:ascii="Times New Roman" w:hAnsi="Times New Roman" w:eastAsia="宋体" w:cs="Times New Roman"/>
          <w:snapToGrid/>
          <w:color w:val="000000"/>
          <w:w w:val="100"/>
          <w:kern w:val="2"/>
          <w:sz w:val="28"/>
          <w:szCs w:val="28"/>
          <w:lang w:val="en-US" w:eastAsia="zh-CN"/>
        </w:rPr>
        <w:t>中毒和窒息、机械伤害、触电、物体打击、高处坠落、灼烫、车辆伤害、淹溺、噪声与振动、粉尘伤害。</w:t>
      </w:r>
    </w:p>
    <w:p>
      <w:pPr>
        <w:spacing w:line="360" w:lineRule="auto"/>
        <w:ind w:firstLine="560" w:firstLineChars="200"/>
        <w:rPr>
          <w:rFonts w:hint="eastAsia" w:ascii="Times New Roman" w:hAnsi="Times New Roman" w:eastAsia="宋体" w:cs="Times New Roman"/>
          <w:snapToGrid/>
          <w:color w:val="000000"/>
          <w:w w:val="100"/>
          <w:kern w:val="2"/>
          <w:sz w:val="28"/>
          <w:szCs w:val="28"/>
          <w:lang w:val="en-US" w:eastAsia="zh-CN"/>
        </w:rPr>
      </w:pPr>
      <w:r>
        <w:rPr>
          <w:rFonts w:hint="eastAsia" w:ascii="Times New Roman" w:hAnsi="Times New Roman" w:eastAsia="宋体" w:cs="Times New Roman"/>
          <w:snapToGrid/>
          <w:color w:val="000000"/>
          <w:w w:val="100"/>
          <w:kern w:val="2"/>
          <w:sz w:val="28"/>
          <w:szCs w:val="28"/>
          <w:lang w:val="en-US" w:eastAsia="zh-CN"/>
        </w:rPr>
        <w:t>（2）</w:t>
      </w:r>
      <w:r>
        <w:rPr>
          <w:rFonts w:hint="eastAsia" w:cs="Times New Roman"/>
          <w:snapToGrid/>
          <w:color w:val="000000"/>
          <w:w w:val="100"/>
          <w:kern w:val="2"/>
          <w:sz w:val="28"/>
          <w:szCs w:val="28"/>
          <w:lang w:val="en-US" w:eastAsia="zh-CN"/>
        </w:rPr>
        <w:t>该企业</w:t>
      </w:r>
      <w:r>
        <w:rPr>
          <w:rFonts w:hint="eastAsia" w:ascii="Times New Roman" w:hAnsi="Times New Roman" w:eastAsia="宋体" w:cs="Times New Roman"/>
          <w:snapToGrid/>
          <w:color w:val="000000"/>
          <w:w w:val="100"/>
          <w:kern w:val="2"/>
          <w:sz w:val="28"/>
          <w:szCs w:val="28"/>
          <w:lang w:val="en-US" w:eastAsia="zh-CN"/>
        </w:rPr>
        <w:t>不</w:t>
      </w:r>
      <w:r>
        <w:rPr>
          <w:rFonts w:hint="eastAsia" w:ascii="Times New Roman" w:hAnsi="Times New Roman" w:eastAsia="宋体" w:cs="Times New Roman"/>
          <w:color w:val="auto"/>
          <w:sz w:val="28"/>
          <w:szCs w:val="28"/>
          <w:lang w:eastAsia="zh-CN"/>
        </w:rPr>
        <w:t>涉及重点监管危险化学品</w:t>
      </w:r>
      <w:r>
        <w:rPr>
          <w:rFonts w:hint="eastAsia" w:ascii="Times New Roman" w:hAnsi="Times New Roman" w:eastAsia="宋体" w:cs="Times New Roman"/>
          <w:snapToGrid/>
          <w:color w:val="000000"/>
          <w:w w:val="100"/>
          <w:kern w:val="2"/>
          <w:sz w:val="28"/>
          <w:szCs w:val="28"/>
          <w:lang w:val="en-US" w:eastAsia="zh-CN"/>
        </w:rPr>
        <w:t>，未涉及重点监管危险化工工艺，生产单元和储存单元未构成重大危险源。</w:t>
      </w:r>
    </w:p>
    <w:p>
      <w:pPr>
        <w:spacing w:line="360" w:lineRule="auto"/>
        <w:ind w:firstLine="560" w:firstLineChars="200"/>
        <w:jc w:val="left"/>
        <w:rPr>
          <w:rFonts w:hint="eastAsia" w:ascii="Times New Roman" w:hAnsi="Times New Roman" w:eastAsia="宋体" w:cs="Times New Roman"/>
          <w:snapToGrid/>
          <w:color w:val="000000" w:themeColor="text1"/>
          <w:w w:val="100"/>
          <w:kern w:val="2"/>
          <w:sz w:val="28"/>
          <w:szCs w:val="28"/>
          <w:lang w:val="en-US" w:eastAsia="zh-CN"/>
          <w14:textFill>
            <w14:solidFill>
              <w14:schemeClr w14:val="tx1"/>
            </w14:solidFill>
          </w14:textFill>
        </w:rPr>
      </w:pPr>
      <w:r>
        <w:rPr>
          <w:rFonts w:hint="eastAsia" w:ascii="Times New Roman" w:hAnsi="Times New Roman" w:eastAsia="宋体" w:cs="Times New Roman"/>
          <w:snapToGrid/>
          <w:color w:val="000000" w:themeColor="text1"/>
          <w:w w:val="100"/>
          <w:kern w:val="2"/>
          <w:sz w:val="28"/>
          <w:szCs w:val="28"/>
          <w:lang w:val="en-US" w:eastAsia="zh-CN"/>
          <w14:textFill>
            <w14:solidFill>
              <w14:schemeClr w14:val="tx1"/>
            </w14:solidFill>
          </w14:textFill>
        </w:rPr>
        <w:t>（3）安全检查表法</w:t>
      </w:r>
      <w:r>
        <w:rPr>
          <w:rFonts w:hint="eastAsia" w:cs="Times New Roman"/>
          <w:snapToGrid/>
          <w:color w:val="000000" w:themeColor="text1"/>
          <w:w w:val="100"/>
          <w:kern w:val="2"/>
          <w:sz w:val="28"/>
          <w:szCs w:val="28"/>
          <w:lang w:val="en-US" w:eastAsia="zh-CN"/>
          <w14:textFill>
            <w14:solidFill>
              <w14:schemeClr w14:val="tx1"/>
            </w14:solidFill>
          </w14:textFill>
        </w:rPr>
        <w:t>评价</w:t>
      </w:r>
      <w:r>
        <w:rPr>
          <w:rFonts w:hint="eastAsia" w:cs="Times New Roman"/>
          <w:snapToGrid/>
          <w:color w:val="auto"/>
          <w:w w:val="100"/>
          <w:kern w:val="2"/>
          <w:sz w:val="28"/>
          <w:szCs w:val="28"/>
          <w:lang w:val="en-US" w:eastAsia="zh-CN"/>
        </w:rPr>
        <w:t>：</w:t>
      </w:r>
      <w:r>
        <w:rPr>
          <w:rFonts w:hint="eastAsia" w:ascii="Times New Roman" w:hAnsi="Times New Roman" w:eastAsia="宋体" w:cs="Times New Roman"/>
          <w:snapToGrid/>
          <w:color w:val="auto"/>
          <w:w w:val="100"/>
          <w:kern w:val="2"/>
          <w:sz w:val="28"/>
          <w:szCs w:val="28"/>
          <w:lang w:val="en-US" w:eastAsia="zh-CN"/>
        </w:rPr>
        <w:t>共检查1</w:t>
      </w:r>
      <w:r>
        <w:rPr>
          <w:rFonts w:hint="eastAsia" w:cs="Times New Roman"/>
          <w:snapToGrid/>
          <w:color w:val="auto"/>
          <w:w w:val="100"/>
          <w:kern w:val="2"/>
          <w:sz w:val="28"/>
          <w:szCs w:val="28"/>
          <w:lang w:val="en-US" w:eastAsia="zh-CN"/>
        </w:rPr>
        <w:t>08</w:t>
      </w:r>
      <w:r>
        <w:rPr>
          <w:rFonts w:hint="eastAsia" w:ascii="Times New Roman" w:hAnsi="Times New Roman" w:eastAsia="宋体" w:cs="Times New Roman"/>
          <w:snapToGrid/>
          <w:color w:val="auto"/>
          <w:w w:val="100"/>
          <w:kern w:val="2"/>
          <w:sz w:val="28"/>
          <w:szCs w:val="28"/>
          <w:lang w:val="en-US" w:eastAsia="zh-CN"/>
        </w:rPr>
        <w:t>项，发现不符合项</w:t>
      </w:r>
      <w:r>
        <w:rPr>
          <w:rFonts w:hint="eastAsia" w:cs="Times New Roman"/>
          <w:snapToGrid/>
          <w:color w:val="auto"/>
          <w:w w:val="100"/>
          <w:kern w:val="2"/>
          <w:sz w:val="28"/>
          <w:szCs w:val="28"/>
          <w:lang w:val="en-US" w:eastAsia="zh-CN"/>
        </w:rPr>
        <w:t>6</w:t>
      </w:r>
      <w:r>
        <w:rPr>
          <w:rFonts w:hint="eastAsia" w:ascii="Times New Roman" w:hAnsi="Times New Roman" w:eastAsia="宋体" w:cs="Times New Roman"/>
          <w:snapToGrid/>
          <w:color w:val="auto"/>
          <w:w w:val="100"/>
          <w:kern w:val="2"/>
          <w:sz w:val="28"/>
          <w:szCs w:val="28"/>
          <w:lang w:val="en-US" w:eastAsia="zh-CN"/>
        </w:rPr>
        <w:t>项，对检查过程中发现的问题，企业已整改完成。</w:t>
      </w:r>
    </w:p>
    <w:p>
      <w:pPr>
        <w:spacing w:line="360" w:lineRule="auto"/>
        <w:ind w:firstLine="560" w:firstLineChars="200"/>
        <w:jc w:val="left"/>
        <w:rPr>
          <w:rFonts w:hint="eastAsia" w:ascii="Times New Roman" w:hAnsi="Times New Roman" w:eastAsia="宋体" w:cs="Times New Roman"/>
          <w:snapToGrid/>
          <w:color w:val="000000" w:themeColor="text1"/>
          <w:w w:val="100"/>
          <w:kern w:val="2"/>
          <w:sz w:val="28"/>
          <w:szCs w:val="28"/>
          <w:lang w:val="en-US" w:eastAsia="zh-CN"/>
          <w14:textFill>
            <w14:solidFill>
              <w14:schemeClr w14:val="tx1"/>
            </w14:solidFill>
          </w14:textFill>
        </w:rPr>
      </w:pPr>
      <w:r>
        <w:rPr>
          <w:rFonts w:hint="eastAsia" w:cs="Times New Roman"/>
          <w:snapToGrid/>
          <w:color w:val="000000" w:themeColor="text1"/>
          <w:w w:val="100"/>
          <w:kern w:val="2"/>
          <w:sz w:val="28"/>
          <w:szCs w:val="28"/>
          <w:lang w:val="en-US" w:eastAsia="zh-CN"/>
          <w14:textFill>
            <w14:solidFill>
              <w14:schemeClr w14:val="tx1"/>
            </w14:solidFill>
          </w14:textFill>
        </w:rPr>
        <w:t>（4）作业条件危险性分析法评价：</w:t>
      </w:r>
      <w:r>
        <w:rPr>
          <w:rFonts w:hint="eastAsia" w:ascii="宋体" w:hAnsi="宋体"/>
          <w:color w:val="000000" w:themeColor="text1"/>
          <w:sz w:val="28"/>
          <w:szCs w:val="28"/>
          <w:lang w:val="en-US" w:eastAsia="zh-CN"/>
          <w14:textFill>
            <w14:solidFill>
              <w14:schemeClr w14:val="tx1"/>
            </w14:solidFill>
          </w14:textFill>
        </w:rPr>
        <w:t>水解精制作业</w:t>
      </w:r>
      <w:r>
        <w:rPr>
          <w:rFonts w:hint="eastAsia" w:ascii="宋体" w:hAnsi="宋体"/>
          <w:color w:val="000000" w:themeColor="text1"/>
          <w:sz w:val="28"/>
          <w:szCs w:val="28"/>
          <w:lang w:eastAsia="zh-CN"/>
          <w14:textFill>
            <w14:solidFill>
              <w14:schemeClr w14:val="tx1"/>
            </w14:solidFill>
          </w14:textFill>
        </w:rPr>
        <w:t>、</w:t>
      </w:r>
      <w:r>
        <w:rPr>
          <w:rFonts w:hint="eastAsia" w:hAnsi="宋体"/>
          <w:color w:val="000000" w:themeColor="text1"/>
          <w:sz w:val="28"/>
          <w:szCs w:val="28"/>
          <w:lang w:val="en-US" w:eastAsia="zh-CN"/>
          <w14:textFill>
            <w14:solidFill>
              <w14:schemeClr w14:val="tx1"/>
            </w14:solidFill>
          </w14:textFill>
        </w:rPr>
        <w:t>配酸作业、司炉作业和</w:t>
      </w:r>
      <w:r>
        <w:rPr>
          <w:rFonts w:hint="eastAsia" w:ascii="宋体" w:hAnsi="宋体"/>
          <w:color w:val="000000" w:themeColor="text1"/>
          <w:sz w:val="28"/>
          <w:szCs w:val="28"/>
          <w:lang w:val="en-US" w:eastAsia="zh-CN"/>
          <w14:textFill>
            <w14:solidFill>
              <w14:schemeClr w14:val="tx1"/>
            </w14:solidFill>
          </w14:textFill>
        </w:rPr>
        <w:t>装卸运输作业</w:t>
      </w:r>
      <w:r>
        <w:rPr>
          <w:rFonts w:hint="eastAsia" w:ascii="宋体" w:hAnsi="宋体"/>
          <w:color w:val="000000" w:themeColor="text1"/>
          <w:sz w:val="28"/>
          <w:szCs w:val="28"/>
          <w14:textFill>
            <w14:solidFill>
              <w14:schemeClr w14:val="tx1"/>
            </w14:solidFill>
          </w14:textFill>
        </w:rPr>
        <w:t>固有危险程度为</w:t>
      </w:r>
      <w:r>
        <w:rPr>
          <w:rFonts w:hint="eastAsia" w:ascii="宋体" w:hAnsi="宋体"/>
          <w:color w:val="000000" w:themeColor="text1"/>
          <w:sz w:val="28"/>
          <w:szCs w:val="28"/>
          <w:lang w:val="en-US" w:eastAsia="zh-CN"/>
          <w14:textFill>
            <w14:solidFill>
              <w14:schemeClr w14:val="tx1"/>
            </w14:solidFill>
          </w14:textFill>
        </w:rPr>
        <w:t>比较危险，需要注意，</w:t>
      </w:r>
      <w:r>
        <w:rPr>
          <w:rFonts w:hint="eastAsia" w:hAnsi="宋体"/>
          <w:color w:val="000000" w:themeColor="text1"/>
          <w:sz w:val="28"/>
          <w:szCs w:val="28"/>
          <w:lang w:val="en-US" w:eastAsia="zh-CN"/>
          <w14:textFill>
            <w14:solidFill>
              <w14:schemeClr w14:val="tx1"/>
            </w14:solidFill>
          </w14:textFill>
        </w:rPr>
        <w:t>应</w:t>
      </w:r>
      <w:r>
        <w:rPr>
          <w:rFonts w:hint="eastAsia" w:ascii="宋体" w:hAnsi="宋体"/>
          <w:color w:val="000000" w:themeColor="text1"/>
          <w:sz w:val="28"/>
          <w:szCs w:val="28"/>
          <w:lang w:val="en-US" w:eastAsia="zh-CN"/>
          <w14:textFill>
            <w14:solidFill>
              <w14:schemeClr w14:val="tx1"/>
            </w14:solidFill>
          </w14:textFill>
        </w:rPr>
        <w:t>严格执行安全操作规程；粉碎作业</w:t>
      </w:r>
      <w:r>
        <w:rPr>
          <w:rFonts w:hint="eastAsia" w:hAnsi="宋体"/>
          <w:color w:val="000000" w:themeColor="text1"/>
          <w:sz w:val="28"/>
          <w:szCs w:val="28"/>
          <w:lang w:val="en-US" w:eastAsia="zh-CN"/>
          <w14:textFill>
            <w14:solidFill>
              <w14:schemeClr w14:val="tx1"/>
            </w14:solidFill>
          </w14:textFill>
        </w:rPr>
        <w:t>、排渣作业</w:t>
      </w:r>
      <w:r>
        <w:rPr>
          <w:rFonts w:hint="eastAsia" w:ascii="宋体" w:hAnsi="宋体"/>
          <w:color w:val="000000" w:themeColor="text1"/>
          <w:sz w:val="28"/>
          <w:szCs w:val="28"/>
          <w14:textFill>
            <w14:solidFill>
              <w14:schemeClr w14:val="tx1"/>
            </w14:solidFill>
          </w14:textFill>
        </w:rPr>
        <w:t>固有危险程度为稍有危险，可以接受。</w:t>
      </w:r>
    </w:p>
    <w:p>
      <w:pPr>
        <w:pStyle w:val="4"/>
        <w:keepNext/>
        <w:keepLines/>
        <w:pageBreakBefore w:val="0"/>
        <w:widowControl w:val="0"/>
        <w:numPr>
          <w:ilvl w:val="1"/>
          <w:numId w:val="3"/>
        </w:numPr>
        <w:kinsoku/>
        <w:wordWrap/>
        <w:overflowPunct/>
        <w:topLinePunct w:val="0"/>
        <w:autoSpaceDE/>
        <w:autoSpaceDN/>
        <w:bidi w:val="0"/>
        <w:adjustRightInd/>
        <w:snapToGrid/>
        <w:spacing w:before="157" w:beforeLines="50" w:beforeAutospacing="0" w:after="157" w:afterLines="50" w:afterAutospacing="0" w:line="360" w:lineRule="auto"/>
        <w:ind w:left="567" w:leftChars="0" w:hanging="567" w:firstLineChars="0"/>
        <w:jc w:val="center"/>
        <w:textAlignment w:val="auto"/>
        <w:rPr>
          <w:rFonts w:hint="eastAsia" w:ascii="楷体" w:hAnsi="楷体" w:eastAsia="楷体" w:cs="楷体"/>
          <w:b w:val="0"/>
          <w:bCs/>
          <w:kern w:val="2"/>
          <w:sz w:val="32"/>
          <w:szCs w:val="32"/>
          <w:lang w:val="en-US" w:eastAsia="zh-CN"/>
        </w:rPr>
      </w:pPr>
      <w:bookmarkStart w:id="148" w:name="_Toc178283455"/>
      <w:bookmarkStart w:id="149" w:name="_Toc17057"/>
      <w:bookmarkStart w:id="150" w:name="_Toc234207417"/>
      <w:bookmarkStart w:id="151" w:name="_Toc9806"/>
      <w:bookmarkStart w:id="152" w:name="_Toc402730260"/>
      <w:bookmarkStart w:id="153" w:name="_Toc402100954"/>
      <w:bookmarkStart w:id="154" w:name="_Toc211399371"/>
      <w:bookmarkStart w:id="155" w:name="_Toc432324256"/>
      <w:bookmarkStart w:id="156" w:name="_Toc18572"/>
      <w:bookmarkStart w:id="157" w:name="_Toc402730202"/>
      <w:bookmarkStart w:id="158" w:name="_Toc7443966"/>
      <w:bookmarkStart w:id="159" w:name="_Toc27838"/>
      <w:bookmarkStart w:id="160" w:name="_Toc205004651"/>
      <w:bookmarkStart w:id="161" w:name="_Toc228692553"/>
      <w:r>
        <w:rPr>
          <w:rFonts w:hint="eastAsia" w:ascii="楷体" w:hAnsi="楷体" w:eastAsia="楷体" w:cs="楷体"/>
          <w:b w:val="0"/>
          <w:bCs/>
          <w:kern w:val="2"/>
          <w:sz w:val="32"/>
          <w:szCs w:val="32"/>
          <w:lang w:val="en-US" w:eastAsia="zh-CN"/>
        </w:rPr>
        <w:t>安全评价结论</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spacing w:line="360" w:lineRule="auto"/>
        <w:ind w:firstLine="560" w:firstLineChars="200"/>
        <w:jc w:val="left"/>
        <w:rPr>
          <w:rFonts w:hint="eastAsia" w:ascii="Times New Roman" w:hAnsi="Times New Roman" w:eastAsia="宋体" w:cs="Times New Roman"/>
          <w:snapToGrid/>
          <w:color w:val="000000"/>
          <w:w w:val="100"/>
          <w:kern w:val="2"/>
          <w:sz w:val="28"/>
          <w:szCs w:val="28"/>
          <w:lang w:val="en-US" w:eastAsia="zh-CN"/>
        </w:rPr>
      </w:pPr>
      <w:r>
        <w:rPr>
          <w:rFonts w:hint="eastAsia" w:cs="Times New Roman"/>
          <w:snapToGrid/>
          <w:color w:val="000000"/>
          <w:w w:val="100"/>
          <w:kern w:val="2"/>
          <w:sz w:val="28"/>
          <w:szCs w:val="28"/>
          <w:lang w:val="en-US" w:eastAsia="zh-CN"/>
        </w:rPr>
        <w:t>黑山鸿泰化工有限公司</w:t>
      </w:r>
      <w:r>
        <w:rPr>
          <w:rFonts w:hint="eastAsia" w:ascii="Times New Roman" w:hAnsi="Times New Roman" w:eastAsia="宋体" w:cs="Times New Roman"/>
          <w:snapToGrid/>
          <w:color w:val="000000"/>
          <w:w w:val="100"/>
          <w:kern w:val="2"/>
          <w:sz w:val="28"/>
          <w:szCs w:val="28"/>
          <w:lang w:val="en-US" w:eastAsia="zh-CN"/>
        </w:rPr>
        <w:t>，</w:t>
      </w:r>
      <w:r>
        <w:rPr>
          <w:rFonts w:hint="eastAsia" w:ascii="Times New Roman" w:hAnsi="Times New Roman" w:eastAsia="宋体" w:cs="Times New Roman"/>
          <w:b w:val="0"/>
          <w:bCs w:val="0"/>
          <w:snapToGrid/>
          <w:color w:val="000000"/>
          <w:w w:val="100"/>
          <w:kern w:val="2"/>
          <w:sz w:val="28"/>
          <w:szCs w:val="28"/>
          <w:lang w:val="zh-CN" w:eastAsia="zh-CN" w:bidi="ar-SA"/>
        </w:rPr>
        <w:t>针对不符合</w:t>
      </w:r>
      <w:r>
        <w:rPr>
          <w:rFonts w:hint="eastAsia" w:ascii="宋体" w:hAnsi="宋体" w:eastAsia="宋体" w:cs="宋体"/>
          <w:snapToGrid/>
          <w:color w:val="000000"/>
          <w:w w:val="100"/>
          <w:kern w:val="2"/>
          <w:sz w:val="28"/>
          <w:szCs w:val="28"/>
          <w:lang w:val="zh-CN" w:eastAsia="zh-CN" w:bidi="ar-SA"/>
        </w:rPr>
        <w:t>国家有关安全生产方面的法律、法规和技术标准的问题</w:t>
      </w:r>
      <w:r>
        <w:rPr>
          <w:rFonts w:hint="eastAsia" w:ascii="Times New Roman" w:hAnsi="Times New Roman" w:eastAsia="宋体" w:cs="Times New Roman"/>
          <w:b w:val="0"/>
          <w:bCs w:val="0"/>
          <w:snapToGrid/>
          <w:color w:val="000000"/>
          <w:w w:val="100"/>
          <w:kern w:val="2"/>
          <w:sz w:val="28"/>
          <w:szCs w:val="28"/>
          <w:lang w:val="zh-CN" w:eastAsia="zh-CN" w:bidi="ar-SA"/>
        </w:rPr>
        <w:t>，已</w:t>
      </w:r>
      <w:r>
        <w:rPr>
          <w:rFonts w:hint="eastAsia" w:ascii="宋体" w:hAnsi="宋体" w:eastAsia="宋体" w:cs="宋体"/>
          <w:snapToGrid/>
          <w:color w:val="000000"/>
          <w:w w:val="100"/>
          <w:kern w:val="2"/>
          <w:sz w:val="28"/>
          <w:szCs w:val="28"/>
          <w:lang w:val="zh-CN" w:eastAsia="zh-CN" w:bidi="ar-SA"/>
        </w:rPr>
        <w:t>采取全面、合理、可行的安全防护措施并整改完成合格，</w:t>
      </w:r>
      <w:r>
        <w:rPr>
          <w:rFonts w:hint="eastAsia" w:ascii="Times New Roman" w:hAnsi="Times New Roman" w:eastAsia="宋体" w:cs="Times New Roman"/>
          <w:snapToGrid/>
          <w:color w:val="000000"/>
          <w:w w:val="100"/>
          <w:kern w:val="2"/>
          <w:sz w:val="28"/>
          <w:szCs w:val="28"/>
          <w:lang w:val="en-US" w:eastAsia="zh-CN"/>
        </w:rPr>
        <w:t>具备《辽宁省危险化学品生产企业安全生产许可证实施细则》（辽安监管三[2016]25号）要求的安全生产条件。</w:t>
      </w:r>
    </w:p>
    <w:p>
      <w:pPr>
        <w:pStyle w:val="3"/>
        <w:keepNext/>
        <w:keepLines/>
        <w:pageBreakBefore w:val="0"/>
        <w:widowControl w:val="0"/>
        <w:numPr>
          <w:ilvl w:val="0"/>
          <w:numId w:val="3"/>
        </w:numPr>
        <w:kinsoku/>
        <w:wordWrap/>
        <w:overflowPunct/>
        <w:topLinePunct w:val="0"/>
        <w:autoSpaceDE/>
        <w:autoSpaceDN/>
        <w:bidi w:val="0"/>
        <w:adjustRightInd/>
        <w:snapToGrid/>
        <w:spacing w:before="313" w:beforeLines="100" w:beforeAutospacing="0" w:after="313" w:afterLines="100" w:afterAutospacing="0" w:line="360" w:lineRule="auto"/>
        <w:ind w:left="425" w:leftChars="0" w:hanging="425" w:firstLineChars="0"/>
        <w:jc w:val="center"/>
        <w:textAlignment w:val="auto"/>
        <w:outlineLvl w:val="0"/>
        <w:rPr>
          <w:rFonts w:hint="eastAsia" w:ascii="Times New Roman" w:hAnsi="Times New Roman" w:eastAsia="黑体" w:cs="Times New Roman"/>
          <w:b w:val="0"/>
          <w:bCs/>
          <w:sz w:val="32"/>
          <w:szCs w:val="32"/>
        </w:rPr>
      </w:pPr>
      <w:bookmarkStart w:id="162" w:name="_Toc14331_WPSOffice_Level1"/>
      <w:bookmarkStart w:id="163" w:name="_Toc2633"/>
      <w:bookmarkStart w:id="164" w:name="_Toc370_WPSOffice_Level1"/>
      <w:bookmarkStart w:id="165" w:name="_Toc18551_WPSOffice_Level1"/>
      <w:bookmarkStart w:id="166" w:name="_Toc532977014"/>
      <w:r>
        <w:rPr>
          <w:rFonts w:hint="eastAsia" w:ascii="Times New Roman" w:hAnsi="Times New Roman" w:eastAsia="黑体" w:cs="Times New Roman"/>
          <w:b w:val="0"/>
          <w:bCs/>
          <w:sz w:val="32"/>
          <w:szCs w:val="32"/>
        </w:rPr>
        <w:t>安全评价报告附件</w:t>
      </w:r>
      <w:bookmarkEnd w:id="162"/>
      <w:bookmarkEnd w:id="163"/>
      <w:bookmarkEnd w:id="164"/>
      <w:bookmarkEnd w:id="165"/>
      <w:bookmarkEnd w:id="166"/>
    </w:p>
    <w:p>
      <w:pPr>
        <w:pStyle w:val="4"/>
        <w:keepNext/>
        <w:keepLines/>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afterAutospacing="0" w:line="360" w:lineRule="auto"/>
        <w:ind w:leftChars="0"/>
        <w:jc w:val="center"/>
        <w:textAlignment w:val="auto"/>
        <w:rPr>
          <w:rFonts w:hint="eastAsia" w:ascii="楷体" w:hAnsi="楷体" w:eastAsia="楷体" w:cs="楷体"/>
          <w:b w:val="0"/>
          <w:bCs/>
          <w:kern w:val="2"/>
          <w:sz w:val="32"/>
          <w:szCs w:val="32"/>
          <w:lang w:val="en-US" w:eastAsia="zh-CN"/>
        </w:rPr>
      </w:pPr>
      <w:bookmarkStart w:id="167" w:name="_Toc27881"/>
      <w:bookmarkStart w:id="168" w:name="_Toc202240580"/>
      <w:bookmarkStart w:id="169" w:name="_Toc1367_WPSOffice_Level1"/>
      <w:bookmarkStart w:id="170" w:name="_Toc1804_WPSOffice_Level1"/>
      <w:bookmarkStart w:id="171" w:name="_Toc532977015"/>
      <w:bookmarkStart w:id="172" w:name="_Toc30493_WPSOffice_Level1"/>
      <w:r>
        <w:rPr>
          <w:rFonts w:hint="eastAsia" w:ascii="楷体" w:hAnsi="楷体" w:eastAsia="楷体" w:cs="楷体"/>
          <w:b w:val="0"/>
          <w:bCs/>
          <w:kern w:val="2"/>
          <w:sz w:val="32"/>
          <w:szCs w:val="32"/>
          <w:lang w:val="en-US" w:eastAsia="zh-CN"/>
        </w:rPr>
        <w:t>附件1 安全评价依据</w:t>
      </w:r>
      <w:bookmarkEnd w:id="167"/>
      <w:bookmarkEnd w:id="168"/>
      <w:bookmarkEnd w:id="169"/>
      <w:bookmarkEnd w:id="170"/>
      <w:bookmarkEnd w:id="171"/>
      <w:bookmarkEnd w:id="172"/>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173" w:name="_Toc32013_WPSOffice_Level1"/>
      <w:bookmarkStart w:id="174" w:name="_Toc18430_WPSOffice_Level1"/>
      <w:bookmarkStart w:id="175" w:name="_Toc2377_WPSOffice_Level1"/>
      <w:r>
        <w:rPr>
          <w:rFonts w:hint="eastAsia" w:ascii="Times New Roman" w:hAnsi="Times New Roman" w:eastAsia="宋体" w:cs="Times New Roman"/>
          <w:color w:val="000000"/>
          <w:kern w:val="2"/>
          <w:sz w:val="28"/>
          <w:szCs w:val="28"/>
          <w:lang w:val="en-US" w:eastAsia="zh-CN" w:bidi="ar-SA"/>
        </w:rPr>
        <w:t>附件1.1 国家有关法律、法规</w:t>
      </w:r>
      <w:bookmarkEnd w:id="173"/>
      <w:bookmarkEnd w:id="174"/>
      <w:bookmarkEnd w:id="175"/>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《中华人民共和国安全生产法》（</w:t>
      </w:r>
      <w:r>
        <w:rPr>
          <w:rFonts w:hint="eastAsia" w:ascii="Times New Roman" w:hAnsi="Times New Roman" w:eastAsia="宋体" w:cs="Times New Roman"/>
          <w:snapToGrid/>
          <w:spacing w:val="0"/>
          <w:w w:val="100"/>
          <w:kern w:val="2"/>
          <w:sz w:val="28"/>
          <w:szCs w:val="28"/>
          <w:lang w:val="en-US" w:eastAsia="zh-CN"/>
        </w:rPr>
        <w:t>中华人民共和国主席令[2002]第70号，根据中华人民共和国主席令[2009]第18号第一次修正，根据中华人民共和国主席令[2014]第13号第二次修正，根据中华人民共和国主席令[2021]第88号第三次修正</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default" w:ascii="Times New Roman" w:hAnsi="Times New Roman" w:eastAsia="宋体" w:cs="Times New Roman"/>
          <w:snapToGrid/>
          <w:spacing w:val="0"/>
          <w:w w:val="100"/>
          <w:kern w:val="2"/>
          <w:sz w:val="28"/>
          <w:szCs w:val="28"/>
          <w:lang w:val="en-US" w:eastAsia="zh-CN"/>
        </w:rPr>
        <w:t xml:space="preserve"> 《中华人民共和国劳动法》（</w:t>
      </w:r>
      <w:r>
        <w:rPr>
          <w:rFonts w:hint="eastAsia" w:ascii="Times New Roman" w:hAnsi="Times New Roman" w:eastAsia="宋体" w:cs="Times New Roman"/>
          <w:snapToGrid/>
          <w:spacing w:val="0"/>
          <w:w w:val="100"/>
          <w:kern w:val="2"/>
          <w:sz w:val="28"/>
          <w:szCs w:val="28"/>
          <w:lang w:val="en-US" w:eastAsia="zh-CN"/>
        </w:rPr>
        <w:t>中华人民共和国主席令[1994]第28号，根据中华人民共和国主席令[2009]第18号第一次修正，根据中华人民共和国主席令[2018]第24号第二次修正</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default" w:ascii="Times New Roman" w:hAnsi="Times New Roman" w:eastAsia="宋体" w:cs="Times New Roman"/>
          <w:snapToGrid/>
          <w:spacing w:val="0"/>
          <w:w w:val="100"/>
          <w:kern w:val="2"/>
          <w:sz w:val="28"/>
          <w:szCs w:val="28"/>
          <w:lang w:val="en-US" w:eastAsia="zh-CN"/>
        </w:rPr>
        <w:t xml:space="preserve"> 《中华人民共和国消防法》（</w:t>
      </w:r>
      <w:r>
        <w:rPr>
          <w:rFonts w:hint="eastAsia" w:ascii="Times New Roman" w:hAnsi="Times New Roman" w:eastAsia="宋体" w:cs="Times New Roman"/>
          <w:snapToGrid/>
          <w:spacing w:val="0"/>
          <w:w w:val="100"/>
          <w:kern w:val="2"/>
          <w:sz w:val="28"/>
          <w:szCs w:val="28"/>
          <w:lang w:val="en-US" w:eastAsia="zh-CN"/>
        </w:rPr>
        <w:t>中华人民共和国主席令[2008]第6号，根据中华人民共和国主席令[2019]第29号第一次修正，根据中华人民共和国主席令[2021]第81号第二次修正</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《中华人民共和国职业病防治法》</w:t>
      </w:r>
      <w:r>
        <w:rPr>
          <w:rFonts w:hint="eastAsia" w:ascii="Times New Roman" w:hAnsi="Times New Roman" w:eastAsia="宋体" w:cs="Times New Roman"/>
          <w:snapToGrid/>
          <w:spacing w:val="0"/>
          <w:w w:val="100"/>
          <w:kern w:val="2"/>
          <w:sz w:val="28"/>
          <w:szCs w:val="28"/>
          <w:lang w:val="en-US" w:eastAsia="zh-CN"/>
        </w:rPr>
        <w:t>(中华人民共和国主席令[2002]第60号，根据中华人民共和国主席令[2011]第52号第一次修订，根据中华人民共和国主席令[2016]第48号第二次修订，根据中华人民共和国主席令[2017]第81号第三次修正，根据中华人民共和国主席令[2018]第24号第四次修正)</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《中华人民共和国突发事件应对法》（</w:t>
      </w:r>
      <w:r>
        <w:rPr>
          <w:rFonts w:hint="eastAsia" w:ascii="Times New Roman" w:hAnsi="Times New Roman" w:eastAsia="宋体" w:cs="Times New Roman"/>
          <w:snapToGrid/>
          <w:spacing w:val="0"/>
          <w:w w:val="100"/>
          <w:kern w:val="2"/>
          <w:sz w:val="28"/>
          <w:szCs w:val="28"/>
          <w:lang w:val="en-US" w:eastAsia="zh-CN"/>
        </w:rPr>
        <w:t>中华人民共和国主席令</w:t>
      </w:r>
      <w:r>
        <w:rPr>
          <w:rFonts w:hint="default" w:ascii="Times New Roman" w:hAnsi="Times New Roman" w:eastAsia="宋体" w:cs="Times New Roman"/>
          <w:snapToGrid/>
          <w:spacing w:val="0"/>
          <w:w w:val="100"/>
          <w:kern w:val="2"/>
          <w:sz w:val="28"/>
          <w:szCs w:val="28"/>
          <w:lang w:val="en-US" w:eastAsia="zh-CN"/>
        </w:rPr>
        <w:t>[2007]第</w:t>
      </w:r>
      <w:r>
        <w:rPr>
          <w:rFonts w:hint="eastAsia" w:ascii="Times New Roman" w:hAnsi="Times New Roman" w:eastAsia="宋体" w:cs="Times New Roman"/>
          <w:snapToGrid/>
          <w:spacing w:val="0"/>
          <w:w w:val="100"/>
          <w:kern w:val="2"/>
          <w:sz w:val="28"/>
          <w:szCs w:val="28"/>
          <w:lang w:val="en-US" w:eastAsia="zh-CN"/>
        </w:rPr>
        <w:t>69</w:t>
      </w:r>
      <w:r>
        <w:rPr>
          <w:rFonts w:hint="default" w:ascii="Times New Roman" w:hAnsi="Times New Roman" w:eastAsia="宋体" w:cs="Times New Roman"/>
          <w:snapToGrid/>
          <w:spacing w:val="0"/>
          <w:w w:val="100"/>
          <w:kern w:val="2"/>
          <w:sz w:val="28"/>
          <w:szCs w:val="28"/>
          <w:lang w:val="en-US" w:eastAsia="zh-CN"/>
        </w:rPr>
        <w:t>号）</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default" w:ascii="Times New Roman" w:hAnsi="Times New Roman" w:eastAsia="宋体" w:cs="Times New Roman"/>
          <w:snapToGrid/>
          <w:spacing w:val="0"/>
          <w:w w:val="100"/>
          <w:kern w:val="2"/>
          <w:sz w:val="28"/>
          <w:szCs w:val="28"/>
          <w:lang w:val="en-US" w:eastAsia="zh-CN"/>
        </w:rPr>
        <w:t xml:space="preserve"> 《中华人民共和国气象法》（</w:t>
      </w:r>
      <w:r>
        <w:rPr>
          <w:rFonts w:hint="eastAsia" w:ascii="Times New Roman" w:hAnsi="Times New Roman" w:eastAsia="宋体" w:cs="Times New Roman"/>
          <w:snapToGrid/>
          <w:spacing w:val="0"/>
          <w:w w:val="100"/>
          <w:kern w:val="2"/>
          <w:sz w:val="28"/>
          <w:szCs w:val="28"/>
          <w:lang w:val="en-US" w:eastAsia="zh-CN"/>
        </w:rPr>
        <w:t>中华人民共和国主席令[1999]第23号，根据中华人民共和国主席令[2009]第18号第一次修正，根据中华人民共和国主席令[2014]第14号第二次修正，根据中华人民共和国主席令[2016]第57号第三次修正</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default" w:ascii="Times New Roman" w:hAnsi="Times New Roman" w:eastAsia="宋体" w:cs="Times New Roman"/>
          <w:snapToGrid/>
          <w:spacing w:val="0"/>
          <w:w w:val="100"/>
          <w:kern w:val="2"/>
          <w:sz w:val="28"/>
          <w:szCs w:val="28"/>
          <w:lang w:val="en-US" w:eastAsia="zh-CN"/>
        </w:rPr>
        <w:t xml:space="preserve"> 《中华人民共和国环境保护法》</w:t>
      </w:r>
      <w:r>
        <w:rPr>
          <w:rFonts w:hint="eastAsia" w:ascii="Times New Roman" w:hAnsi="Times New Roman" w:eastAsia="宋体" w:cs="Times New Roman"/>
          <w:snapToGrid/>
          <w:spacing w:val="0"/>
          <w:w w:val="100"/>
          <w:kern w:val="2"/>
          <w:sz w:val="28"/>
          <w:szCs w:val="28"/>
          <w:lang w:val="en-US" w:eastAsia="zh-CN"/>
        </w:rPr>
        <w:t>（中华人民共和国主席令[1989</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第22号，根据中华人民共和国主席令[2014</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第9号修订）</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《中华人民共和国防震减灾法》（</w:t>
      </w:r>
      <w:r>
        <w:rPr>
          <w:rFonts w:hint="eastAsia" w:ascii="Times New Roman" w:hAnsi="Times New Roman" w:eastAsia="宋体" w:cs="Times New Roman"/>
          <w:snapToGrid/>
          <w:spacing w:val="0"/>
          <w:w w:val="100"/>
          <w:kern w:val="2"/>
          <w:sz w:val="28"/>
          <w:szCs w:val="28"/>
          <w:lang w:val="en-US" w:eastAsia="zh-CN"/>
        </w:rPr>
        <w:t>中华人民共和国主席令</w:t>
      </w:r>
      <w:r>
        <w:rPr>
          <w:rFonts w:hint="default" w:ascii="Times New Roman" w:hAnsi="Times New Roman" w:eastAsia="宋体" w:cs="Times New Roman"/>
          <w:snapToGrid/>
          <w:spacing w:val="0"/>
          <w:w w:val="100"/>
          <w:kern w:val="2"/>
          <w:sz w:val="28"/>
          <w:szCs w:val="28"/>
          <w:lang w:val="en-US" w:eastAsia="zh-CN"/>
        </w:rPr>
        <w:t>[2008]第</w:t>
      </w:r>
      <w:r>
        <w:rPr>
          <w:rFonts w:hint="eastAsia" w:ascii="Times New Roman" w:hAnsi="Times New Roman" w:eastAsia="宋体" w:cs="Times New Roman"/>
          <w:snapToGrid/>
          <w:spacing w:val="0"/>
          <w:w w:val="100"/>
          <w:kern w:val="2"/>
          <w:sz w:val="28"/>
          <w:szCs w:val="28"/>
          <w:lang w:val="en-US" w:eastAsia="zh-CN"/>
        </w:rPr>
        <w:t>7</w:t>
      </w:r>
      <w:r>
        <w:rPr>
          <w:rFonts w:hint="default" w:ascii="Times New Roman" w:hAnsi="Times New Roman" w:eastAsia="宋体" w:cs="Times New Roman"/>
          <w:snapToGrid/>
          <w:spacing w:val="0"/>
          <w:w w:val="100"/>
          <w:kern w:val="2"/>
          <w:sz w:val="28"/>
          <w:szCs w:val="28"/>
          <w:lang w:val="en-US" w:eastAsia="zh-CN"/>
        </w:rPr>
        <w:t>号）</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default" w:ascii="Times New Roman" w:hAnsi="Times New Roman" w:eastAsia="宋体" w:cs="Times New Roman"/>
          <w:snapToGrid/>
          <w:spacing w:val="0"/>
          <w:w w:val="100"/>
          <w:kern w:val="2"/>
          <w:sz w:val="28"/>
          <w:szCs w:val="28"/>
          <w:lang w:val="en-US" w:eastAsia="zh-CN"/>
        </w:rPr>
        <w:t xml:space="preserve"> 《中华人民共和国特种设备安全法》（</w:t>
      </w:r>
      <w:r>
        <w:rPr>
          <w:rFonts w:hint="eastAsia" w:ascii="Times New Roman" w:hAnsi="Times New Roman" w:eastAsia="宋体" w:cs="Times New Roman"/>
          <w:snapToGrid/>
          <w:spacing w:val="0"/>
          <w:w w:val="100"/>
          <w:kern w:val="2"/>
          <w:sz w:val="28"/>
          <w:szCs w:val="28"/>
          <w:lang w:val="en-US" w:eastAsia="zh-CN"/>
        </w:rPr>
        <w:t>中华人民共和国主席令</w:t>
      </w:r>
      <w:r>
        <w:rPr>
          <w:rFonts w:hint="default" w:ascii="Times New Roman" w:hAnsi="Times New Roman" w:eastAsia="宋体" w:cs="Times New Roman"/>
          <w:snapToGrid/>
          <w:spacing w:val="0"/>
          <w:w w:val="100"/>
          <w:kern w:val="2"/>
          <w:sz w:val="28"/>
          <w:szCs w:val="28"/>
          <w:lang w:val="en-US" w:eastAsia="zh-CN"/>
        </w:rPr>
        <w:t>[2013]第</w:t>
      </w:r>
      <w:r>
        <w:rPr>
          <w:rFonts w:hint="eastAsia" w:ascii="Times New Roman" w:hAnsi="Times New Roman" w:eastAsia="宋体" w:cs="Times New Roman"/>
          <w:snapToGrid/>
          <w:spacing w:val="0"/>
          <w:w w:val="100"/>
          <w:kern w:val="2"/>
          <w:sz w:val="28"/>
          <w:szCs w:val="28"/>
          <w:lang w:val="en-US" w:eastAsia="zh-CN"/>
        </w:rPr>
        <w:t>4</w:t>
      </w:r>
      <w:r>
        <w:rPr>
          <w:rFonts w:hint="default" w:ascii="Times New Roman" w:hAnsi="Times New Roman" w:eastAsia="宋体" w:cs="Times New Roman"/>
          <w:snapToGrid/>
          <w:spacing w:val="0"/>
          <w:w w:val="100"/>
          <w:kern w:val="2"/>
          <w:sz w:val="28"/>
          <w:szCs w:val="28"/>
          <w:lang w:val="en-US" w:eastAsia="zh-CN"/>
        </w:rPr>
        <w:t>号）</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《危险化学品安全管理条例》（中华人民共和国国务院令[2002]第344号，根据中华人民共和国国务院令[2011]第591号第一次修订，根据中华人民共和国国务院令[2013]第645号第二次修订）</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《使用有毒物品作业场所劳动保护条例》（中华人民共和国国务院令[2002]第352号）</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《工伤保险条例》（中华人民共和国国务院令[2003]第375号，根据中华人民共和国国务院令[2010]第586号修订）</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《安全生产许可证条例》（中华人民共和国国务院令[2004]第397号，根据中华人民共和国国务院令[2014]第653号修订）</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bookmarkStart w:id="176" w:name="_Toc24091_WPSOffice_Level1"/>
      <w:bookmarkStart w:id="177" w:name="_Toc30884_WPSOffice_Level1"/>
      <w:r>
        <w:rPr>
          <w:rFonts w:hint="eastAsia" w:ascii="Times New Roman" w:hAnsi="Times New Roman" w:eastAsia="宋体" w:cs="Times New Roman"/>
          <w:snapToGrid/>
          <w:spacing w:val="0"/>
          <w:w w:val="100"/>
          <w:kern w:val="2"/>
          <w:sz w:val="28"/>
          <w:szCs w:val="28"/>
          <w:lang w:val="en-US" w:eastAsia="zh-CN"/>
        </w:rPr>
        <w:t xml:space="preserve"> 《易制毒化学品管理条例》（中华人民共和国国务院令[2005]第445号，根据中华人民共和国国务院令[2014]第653号第一次修订，根据中华人民共和国国务院令[2016]第666号第二次修订，根据中华人民共和国国务院令[2018]第703号第三次修订）</w:t>
      </w:r>
    </w:p>
    <w:p>
      <w:pPr>
        <w:keepNext w:val="0"/>
        <w:keepLines w:val="0"/>
        <w:pageBreakBefore w:val="0"/>
        <w:widowControl w:val="0"/>
        <w:numPr>
          <w:ilvl w:val="0"/>
          <w:numId w:val="16"/>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《生产安全事故应急条例》（中华人民共和国国务院令[2019]第708号）</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178" w:name="_Toc2473_WPSOffice_Level1"/>
      <w:r>
        <w:rPr>
          <w:rFonts w:hint="eastAsia" w:ascii="Times New Roman" w:hAnsi="Times New Roman" w:eastAsia="宋体" w:cs="Times New Roman"/>
          <w:color w:val="000000"/>
          <w:kern w:val="2"/>
          <w:sz w:val="28"/>
          <w:szCs w:val="28"/>
          <w:lang w:val="en-US" w:eastAsia="zh-CN" w:bidi="ar-SA"/>
        </w:rPr>
        <w:t>附件1.2 部门规章及相关规范性文件</w:t>
      </w:r>
      <w:bookmarkEnd w:id="176"/>
      <w:bookmarkEnd w:id="177"/>
      <w:bookmarkEnd w:id="178"/>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生产企业安全生产许可证实施办法》（国家安全生产监督管理总局令[2011]第41号公布，根据国家安全生产监督管理总局令[2015]第79号第一次修正，根据国家安全生产监督管理总局令[2017]第89号令第二次修正）</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《危险化学品登记管理办法》（国家安全生产监督管理总局令[2012]第53号）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《危险化学品生产企业安全评价导则（试行）》（安监管危化字[2004]127号）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《生产经营单位安全培训规定》(国家安全生产监督管理总局令[2006]第3号，根据国家安全生产监督管理总局令 [2015]第80号修订)</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《安全生产培训管理办法》（国家安全生产监督管理总局令[2012]第44号，根据国家安全生产监督管理总局令[2013]63号修改，根据2015年5月29日国家安全生产监管总局令第80号第二次修正）</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《特种作业人员安全技术培训考核管理规定》（国家安全生产监督管理总局令[2010]第30号，根据国家安全生产监督管理局令[2013]第63号第一次修订，根据国家安全生产监督管理局令[2015]第80号第二次修订）</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《生产安全事故应急预案管理办法》</w:t>
      </w:r>
      <w:r>
        <w:rPr>
          <w:rFonts w:hint="eastAsia" w:ascii="Times New Roman" w:hAnsi="Times New Roman" w:eastAsia="宋体" w:cs="Times New Roman"/>
          <w:snapToGrid/>
          <w:spacing w:val="0"/>
          <w:w w:val="100"/>
          <w:kern w:val="2"/>
          <w:sz w:val="28"/>
          <w:szCs w:val="28"/>
          <w:lang w:val="en-US" w:eastAsia="zh-CN"/>
        </w:rPr>
        <w:t>（</w:t>
      </w:r>
      <w:r>
        <w:rPr>
          <w:rFonts w:hint="default" w:ascii="Times New Roman" w:hAnsi="Times New Roman" w:eastAsia="宋体" w:cs="Times New Roman"/>
          <w:snapToGrid/>
          <w:spacing w:val="0"/>
          <w:w w:val="100"/>
          <w:kern w:val="2"/>
          <w:sz w:val="28"/>
          <w:szCs w:val="28"/>
          <w:lang w:val="en-US" w:eastAsia="zh-CN"/>
        </w:rPr>
        <w:t>国家安全生产监督管理总局令[2016]第88号，依据应急管理部令[2019]第2号修改</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《危险化学品目录（2015版）》（国家安全生产监督管理总局等10部门公告2015年第5号，应急管理部等十部门公告2022年第8号修改）</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《国家安全监管总局办公厅关于印发危险化学品目录（2015）版实施指南（试行）的通知》（安监总厅管三[2015]80号）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《国家安全监管总局关于公布首批重点监管的危险化学品名录的通知》（安监总厅管三[2011]95号）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《国家安全监管总局办公厅关于印发首批重点监管的危险化学品安全措施和应急处置原则的通知》（安监总厅管三[2011]142号）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《国家安全监管总局关于公布第二批重点监管危险化学品名录的通知》（安监总管三[2013]12号）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《国家安全监管总局关于公布首批重点监管的危险化工工艺目录的通知》（安监总管三[2009]116号）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《国家安全监管总局关于公布第二批重点监管危险化工工艺目录和调整首批重点监管危险化工工艺中部分典型工艺的通知》（安监总管三[2013]3号）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《关于遏制危险化学品和烟花爆竹重特大事故工作意见》(安监总管三[2016]62号)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《国家安全监管总局关于加强化工企业泄漏管理的指导意见》（安监总管三[2014]94号）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《国家安全监管总局关于加强化工安全仪表系统管理的指导意见》（安监总管三[2014]116号）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《化工和危险化学品生产经营单位重大生产安全事故隐患判定标准（试行）》（安监总管三[2017]121号）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《国家安监总局关于加强化工过程安全管理的指导意见》（安监总管三[2013]88号）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《国家安全监管总局关于印发企业安全生产责任体系五落实五到位规定的通知》（安监总办[2015]27号）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《化工（危险化学品）企业保障生产安全十条规定》（安监总政法[2017]第15号）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《应急管理部关于印发危险化学品企业安全分类整治目录（2020年）的通知》（中华人民共和国应急管理部令[2020]第84号）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《关于印发淘汰落后安全技术装备目录（2015年第一批）的通知》（安监总科技[2015]75号）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《关于印发淘汰落后安全技术工艺、设备目录（2016年）的通知》（安监总科技[2016]137号）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《关于印发淘汰落后危险化学品安全生产工艺技术目录（第一批）的通知》（应急厅[2020]38号）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《应急管理部关于全面实施危险化学品企业安全风险研判与承诺公告制度的通知》（应急[2018]74号）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《应急管理部办公厅关于印发&lt;危险化学品企业生产安全事故应急准备指南&gt;的通知》（应急厅[2019]62号）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《关于危险化学品企业贯彻落实&lt;国务院关于进一步加强企业安全生产工作的通知&gt;的实施意见》（安监总管三[2010]186号）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《国务院安委会办公室关于全面加强企业全员安全生产责任制工作的通知》（安委办[2017]29号）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《注册安全工程师管理规定》(国家安全生产监督管理总局令[2007]第11号，根据国家安全生产监督管理总局令[2013]第63号修正) </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《国家发展改革委关于修改&lt;产业结构调整指导目录（2019年本）&gt;的决定》（中华人民共和国国家发展和改革委员会令[2021]第49号）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《特种设备目录》（国家质量监督检验检疫总局[2014]第114号）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《关于印发&lt;企业安全生产费用提取和使用管理办法&gt;的通知》（财资[2022]136号）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特别管控危险化学品目录（第一版）</w:t>
      </w:r>
      <w:r>
        <w:rPr>
          <w:rFonts w:hint="eastAsia" w:ascii="Times New Roman" w:hAnsi="Times New Roman" w:eastAsia="宋体" w:cs="Times New Roman"/>
          <w:snapToGrid/>
          <w:spacing w:val="0"/>
          <w:w w:val="100"/>
          <w:kern w:val="2"/>
          <w:sz w:val="28"/>
          <w:szCs w:val="28"/>
          <w:lang w:val="en-US" w:eastAsia="zh-CN"/>
        </w:rPr>
        <w:t>》（</w:t>
      </w:r>
      <w:r>
        <w:rPr>
          <w:rFonts w:hint="default" w:ascii="Times New Roman" w:hAnsi="Times New Roman" w:eastAsia="宋体" w:cs="Times New Roman"/>
          <w:snapToGrid/>
          <w:spacing w:val="0"/>
          <w:w w:val="100"/>
          <w:kern w:val="2"/>
          <w:sz w:val="28"/>
          <w:szCs w:val="28"/>
          <w:lang w:val="en-US" w:eastAsia="zh-CN"/>
        </w:rPr>
        <w:t>应急管理部、工业和信息化部、公安部、交通运输部联合</w:t>
      </w:r>
      <w:r>
        <w:rPr>
          <w:rFonts w:hint="eastAsia" w:ascii="Times New Roman" w:hAnsi="Times New Roman" w:eastAsia="宋体" w:cs="Times New Roman"/>
          <w:snapToGrid/>
          <w:spacing w:val="0"/>
          <w:w w:val="100"/>
          <w:kern w:val="2"/>
          <w:sz w:val="28"/>
          <w:szCs w:val="28"/>
          <w:lang w:val="en-US" w:eastAsia="zh-CN"/>
        </w:rPr>
        <w:t>公告[2</w:t>
      </w:r>
      <w:r>
        <w:rPr>
          <w:rFonts w:hint="default" w:ascii="Times New Roman" w:hAnsi="Times New Roman" w:eastAsia="宋体" w:cs="Times New Roman"/>
          <w:snapToGrid/>
          <w:spacing w:val="0"/>
          <w:w w:val="100"/>
          <w:kern w:val="2"/>
          <w:sz w:val="28"/>
          <w:szCs w:val="28"/>
          <w:lang w:val="en-US" w:eastAsia="zh-CN"/>
        </w:rPr>
        <w:t>020</w:t>
      </w:r>
      <w:r>
        <w:rPr>
          <w:rFonts w:hint="eastAsia" w:ascii="Times New Roman" w:hAnsi="Times New Roman" w:eastAsia="宋体" w:cs="Times New Roman"/>
          <w:snapToGrid/>
          <w:spacing w:val="0"/>
          <w:w w:val="100"/>
          <w:kern w:val="2"/>
          <w:sz w:val="28"/>
          <w:szCs w:val="28"/>
          <w:lang w:val="en-US" w:eastAsia="zh-CN"/>
        </w:rPr>
        <w:t>]年第1号）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《建设工程消防设计审查验收管理暂行规定》(中华人民共和国住房和城乡建设部令第51号)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《防雷减灾管理办法》（中国气象局令[2013]第24号）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《职业病危害因素分类目录》(国卫疾控发[2015]92号)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《高毒物品目录》（卫法监发[2003]第142号）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《易制爆危险化学品名录（2017年版）》（中华人民共和国公安部公告）</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《中华人民共和国监控化学品管理条例》（中华人民共和国工业和信息化部令[2018]第48号）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lang w:val="en-US" w:eastAsia="zh-CN"/>
        </w:rPr>
      </w:pPr>
      <w:r>
        <w:rPr>
          <w:rFonts w:hint="eastAsia" w:ascii="Times New Roman" w:hAnsi="Times New Roman" w:eastAsia="宋体" w:cs="Times New Roman"/>
          <w:snapToGrid/>
          <w:spacing w:val="0"/>
          <w:w w:val="100"/>
          <w:kern w:val="2"/>
          <w:sz w:val="28"/>
          <w:szCs w:val="28"/>
          <w:lang w:val="en-US" w:eastAsia="zh-CN"/>
        </w:rPr>
        <w:t xml:space="preserve"> 《各类监控化学品名录》（中华人民共和国工业和信息化部令[2020]第52号）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《仓库防火安全管理规则》（中华人民共和国公安部令第6号）</w:t>
      </w:r>
    </w:p>
    <w:p>
      <w:pPr>
        <w:keepNext w:val="0"/>
        <w:keepLines w:val="0"/>
        <w:pageBreakBefore w:val="0"/>
        <w:widowControl w:val="0"/>
        <w:numPr>
          <w:ilvl w:val="0"/>
          <w:numId w:val="17"/>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《危险化学品企业重点人员安全资质达标导则（试行）》（应急危化二[2021]1号）</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179" w:name="_Toc20177_WPSOffice_Level1"/>
      <w:bookmarkStart w:id="180" w:name="_Toc19602_WPSOffice_Level1"/>
      <w:bookmarkStart w:id="181" w:name="_Toc21105_WPSOffice_Level1"/>
      <w:r>
        <w:rPr>
          <w:rFonts w:hint="eastAsia" w:ascii="Times New Roman" w:hAnsi="Times New Roman" w:eastAsia="宋体" w:cs="Times New Roman"/>
          <w:color w:val="000000"/>
          <w:kern w:val="2"/>
          <w:sz w:val="28"/>
          <w:szCs w:val="28"/>
          <w:lang w:val="en-US" w:eastAsia="zh-CN" w:bidi="ar-SA"/>
        </w:rPr>
        <w:t>附件1.3 地方性法规和规章</w:t>
      </w:r>
      <w:bookmarkEnd w:id="179"/>
      <w:bookmarkEnd w:id="180"/>
      <w:bookmarkEnd w:id="181"/>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《辽宁省安全生产条例》</w:t>
      </w:r>
      <w:r>
        <w:rPr>
          <w:rFonts w:hint="eastAsia" w:ascii="Times New Roman" w:hAnsi="Times New Roman" w:eastAsia="宋体" w:cs="Times New Roman"/>
          <w:snapToGrid/>
          <w:spacing w:val="0"/>
          <w:w w:val="100"/>
          <w:kern w:val="2"/>
          <w:sz w:val="28"/>
          <w:szCs w:val="28"/>
          <w:lang w:val="en-US" w:eastAsia="zh-CN"/>
        </w:rPr>
        <w:t>（辽宁省人民代表大会常务委员会公告[2017]第64号，根据辽宁省第十三届人民代表大会常务委员会公告[2020]第47号第一次修正，辽宁省第十三届人民代表大会常务委员会公告[2022]第92号第二次修正</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《辽宁省消防条例》</w:t>
      </w:r>
      <w:r>
        <w:rPr>
          <w:rFonts w:hint="eastAsia" w:ascii="Times New Roman" w:hAnsi="Times New Roman" w:eastAsia="宋体" w:cs="Times New Roman"/>
          <w:snapToGrid/>
          <w:spacing w:val="0"/>
          <w:w w:val="100"/>
          <w:kern w:val="2"/>
          <w:sz w:val="28"/>
          <w:szCs w:val="28"/>
          <w:lang w:val="en-US" w:eastAsia="zh-CN"/>
        </w:rPr>
        <w:t>（辽宁省第十一届人民代表大会常务委员会公告[2012]第53号，根据辽宁省第十三届人民代表大会常务委员会公告[2020]第47号修正，根据辽宁省第十三届人民代表大会常务委员会公告[2022]第103号修正）</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《辽宁省突发事件应对条例》</w:t>
      </w:r>
      <w:r>
        <w:rPr>
          <w:rFonts w:hint="eastAsia" w:ascii="Times New Roman" w:hAnsi="Times New Roman" w:eastAsia="宋体" w:cs="Times New Roman"/>
          <w:snapToGrid/>
          <w:spacing w:val="0"/>
          <w:w w:val="100"/>
          <w:kern w:val="2"/>
          <w:sz w:val="28"/>
          <w:szCs w:val="28"/>
          <w:lang w:val="en-US" w:eastAsia="zh-CN"/>
        </w:rPr>
        <w:t>（辽宁省第十一届人大常委会第十次会公告[2009]第17号，根据辽宁省第十三届人民代表大会常务委员会公告[2020]第47号修正）</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《辽宁省企业安全生产主体责任规定》（辽宁省人民政府[2011]第264号，根据辽宁省人民政府令[2013]第286号修订，根据辽宁省人民政府令[2017]第311号修</w:t>
      </w:r>
      <w:r>
        <w:rPr>
          <w:rFonts w:hint="eastAsia" w:ascii="Times New Roman" w:hAnsi="Times New Roman" w:eastAsia="宋体" w:cs="Times New Roman"/>
          <w:snapToGrid/>
          <w:spacing w:val="0"/>
          <w:w w:val="100"/>
          <w:kern w:val="2"/>
          <w:sz w:val="28"/>
          <w:szCs w:val="28"/>
          <w:lang w:val="en-US" w:eastAsia="zh-CN"/>
        </w:rPr>
        <w:t>正，根据辽宁省人民政府令[2021]第341修正</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《辽宁省雷电灾害防御管理规定》（辽宁省人民政府令[2005]第180号，根据辽宁省人民政府令[2018]第324号修改）</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《辽宁省危险化学品生产企业安全生产许可证实施细则》（辽安监管三</w:t>
      </w:r>
      <w:r>
        <w:rPr>
          <w:rFonts w:hint="default" w:ascii="Times New Roman" w:hAnsi="Times New Roman" w:eastAsia="宋体" w:cs="Times New Roman"/>
          <w:snapToGrid/>
          <w:spacing w:val="0"/>
          <w:w w:val="100"/>
          <w:kern w:val="2"/>
          <w:sz w:val="28"/>
          <w:szCs w:val="28"/>
          <w:lang w:val="en-US" w:eastAsia="zh-CN"/>
        </w:rPr>
        <w:t>[201</w:t>
      </w:r>
      <w:r>
        <w:rPr>
          <w:rFonts w:hint="eastAsia" w:ascii="Times New Roman" w:hAnsi="Times New Roman" w:eastAsia="宋体" w:cs="Times New Roman"/>
          <w:snapToGrid/>
          <w:spacing w:val="0"/>
          <w:w w:val="100"/>
          <w:kern w:val="2"/>
          <w:sz w:val="28"/>
          <w:szCs w:val="28"/>
          <w:lang w:val="en-US" w:eastAsia="zh-CN"/>
        </w:rPr>
        <w:t>6</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25号）</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《辽宁省安全生产委员会关于落实企业全员安全生产责任制的实施意见》（辽安委[2017]45号）</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default" w:ascii="Times New Roman" w:hAnsi="Times New Roman" w:eastAsia="宋体" w:cs="Times New Roman"/>
          <w:snapToGrid/>
          <w:spacing w:val="0"/>
          <w:w w:val="100"/>
          <w:kern w:val="2"/>
          <w:sz w:val="28"/>
          <w:szCs w:val="28"/>
          <w:lang w:val="en-US" w:eastAsia="zh-CN"/>
        </w:rPr>
        <w:t xml:space="preserve"> 《辽宁省安全生产监督管理局贯彻落实&lt;生产安全事故应急预案管理办法&gt;实施细则》（辽安监应急[2017]5号）</w:t>
      </w:r>
    </w:p>
    <w:p>
      <w:pPr>
        <w:keepNext w:val="0"/>
        <w:keepLines w:val="0"/>
        <w:pageBreakBefore w:val="0"/>
        <w:widowControl w:val="0"/>
        <w:numPr>
          <w:ilvl w:val="0"/>
          <w:numId w:val="18"/>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《辽宁省安全生产监督管理局关于加强危险化学品安全生产许可证颁发管理工作的通知》（辽安监危化[2018]20号）</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182" w:name="_Toc288468356"/>
      <w:bookmarkStart w:id="183" w:name="_Toc292805350"/>
      <w:bookmarkStart w:id="184" w:name="_Toc29667_WPSOffice_Level2"/>
      <w:bookmarkStart w:id="185" w:name="_Toc11218_WPSOffice_Level1"/>
      <w:r>
        <w:rPr>
          <w:rFonts w:hint="eastAsia" w:ascii="Times New Roman" w:hAnsi="Times New Roman" w:eastAsia="宋体" w:cs="Times New Roman"/>
          <w:color w:val="000000"/>
          <w:kern w:val="2"/>
          <w:sz w:val="28"/>
          <w:szCs w:val="28"/>
          <w:lang w:val="en-US" w:eastAsia="zh-CN" w:bidi="ar-SA"/>
        </w:rPr>
        <w:t>附件1.</w:t>
      </w:r>
      <w:bookmarkEnd w:id="182"/>
      <w:bookmarkEnd w:id="183"/>
      <w:r>
        <w:rPr>
          <w:rFonts w:hint="eastAsia" w:ascii="Times New Roman" w:hAnsi="Times New Roman" w:eastAsia="宋体" w:cs="Times New Roman"/>
          <w:color w:val="000000"/>
          <w:kern w:val="2"/>
          <w:sz w:val="28"/>
          <w:szCs w:val="28"/>
          <w:lang w:val="en-US" w:eastAsia="zh-CN" w:bidi="ar-SA"/>
        </w:rPr>
        <w:t>4 技术标准、规范</w:t>
      </w:r>
      <w:bookmarkEnd w:id="184"/>
      <w:bookmarkEnd w:id="185"/>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《安全评价通则》（AQ8001-2007)</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建筑设计防火规范</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GB 50016-2014[2018年版]</w:t>
      </w:r>
      <w:r>
        <w:rPr>
          <w:rFonts w:hint="default"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《石油化工企业设计防火标准》</w:t>
      </w:r>
      <w:r>
        <w:rPr>
          <w:rFonts w:hint="eastAsia" w:ascii="Times New Roman" w:hAnsi="Times New Roman" w:eastAsia="宋体" w:cs="Times New Roman"/>
          <w:snapToGrid/>
          <w:spacing w:val="0"/>
          <w:w w:val="100"/>
          <w:kern w:val="2"/>
          <w:sz w:val="28"/>
          <w:szCs w:val="28"/>
          <w:lang w:val="en-US" w:eastAsia="zh-CN"/>
        </w:rPr>
        <w:t>（</w:t>
      </w:r>
      <w:r>
        <w:rPr>
          <w:rFonts w:hint="default" w:ascii="Times New Roman" w:hAnsi="Times New Roman" w:eastAsia="宋体" w:cs="Times New Roman"/>
          <w:snapToGrid/>
          <w:spacing w:val="0"/>
          <w:w w:val="100"/>
          <w:kern w:val="2"/>
          <w:sz w:val="28"/>
          <w:szCs w:val="28"/>
          <w:lang w:val="en-US" w:eastAsia="zh-CN"/>
        </w:rPr>
        <w:t>GB 50160-2008[2018年版]</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《生产过程安全卫生要求总则》（GB/T 12801-2008）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《生产设备安全卫生设计总则》（GB5083-1999）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《工业企业总平面设计规范》（GB50187-2012）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《化工企业总图运输设计规范》（GB50489-2009）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《工业企业设计卫生标准》（GBZ 1-2010）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《化工企业安全卫生设计规范》（HG20571-2014）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石油化工全厂性仓库及堆场设计规范</w:t>
      </w:r>
      <w:r>
        <w:rPr>
          <w:rFonts w:hint="eastAsia" w:ascii="Times New Roman" w:hAnsi="Times New Roman" w:eastAsia="宋体" w:cs="Times New Roman"/>
          <w:snapToGrid/>
          <w:spacing w:val="0"/>
          <w:w w:val="100"/>
          <w:kern w:val="2"/>
          <w:sz w:val="28"/>
          <w:szCs w:val="28"/>
          <w:lang w:val="en-US" w:eastAsia="zh-CN"/>
        </w:rPr>
        <w:t>）</w:t>
      </w:r>
      <w:r>
        <w:rPr>
          <w:rFonts w:hint="eastAsia"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GB50475-2008</w:t>
      </w:r>
      <w:r>
        <w:rPr>
          <w:rFonts w:hint="eastAsia"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带式输送机 安全规范</w:t>
      </w:r>
      <w:r>
        <w:rPr>
          <w:rFonts w:hint="eastAsia" w:ascii="Times New Roman" w:hAnsi="Times New Roman" w:eastAsia="宋体" w:cs="Times New Roman"/>
          <w:snapToGrid/>
          <w:spacing w:val="0"/>
          <w:w w:val="100"/>
          <w:kern w:val="2"/>
          <w:sz w:val="28"/>
          <w:szCs w:val="28"/>
          <w:lang w:val="en-US" w:eastAsia="zh-CN"/>
        </w:rPr>
        <w:fldChar w:fldCharType="begin"/>
      </w:r>
      <w:r>
        <w:rPr>
          <w:rFonts w:hint="eastAsia" w:ascii="Times New Roman" w:hAnsi="Times New Roman" w:eastAsia="宋体" w:cs="Times New Roman"/>
          <w:snapToGrid/>
          <w:spacing w:val="0"/>
          <w:w w:val="100"/>
          <w:kern w:val="2"/>
          <w:sz w:val="28"/>
          <w:szCs w:val="28"/>
          <w:lang w:val="en-US" w:eastAsia="zh-CN"/>
        </w:rPr>
        <w:instrText xml:space="preserve"> HYPERLINK "http://www.jianbiaoku.com/webarbs/book/66997/1270600.shtml" \t "http://www.jianbiaoku.com/webarbs/book/66997/_self" </w:instrText>
      </w:r>
      <w:r>
        <w:rPr>
          <w:rFonts w:hint="eastAsia" w:ascii="Times New Roman" w:hAnsi="Times New Roman" w:eastAsia="宋体" w:cs="Times New Roman"/>
          <w:snapToGrid/>
          <w:spacing w:val="0"/>
          <w:w w:val="100"/>
          <w:kern w:val="2"/>
          <w:sz w:val="28"/>
          <w:szCs w:val="28"/>
          <w:lang w:val="en-US" w:eastAsia="zh-CN"/>
        </w:rPr>
        <w:fldChar w:fldCharType="separate"/>
      </w:r>
      <w:r>
        <w:rPr>
          <w:rFonts w:hint="eastAsia" w:ascii="Times New Roman" w:hAnsi="Times New Roman" w:eastAsia="宋体" w:cs="Times New Roman"/>
          <w:snapToGrid/>
          <w:spacing w:val="0"/>
          <w:w w:val="100"/>
          <w:kern w:val="2"/>
          <w:sz w:val="28"/>
          <w:szCs w:val="28"/>
          <w:lang w:val="en-US" w:eastAsia="zh-CN"/>
        </w:rPr>
        <w:t>》（GB14784-2013</w:t>
      </w:r>
      <w:r>
        <w:rPr>
          <w:rFonts w:hint="eastAsia" w:ascii="Times New Roman" w:hAnsi="Times New Roman" w:eastAsia="宋体" w:cs="Times New Roman"/>
          <w:snapToGrid/>
          <w:spacing w:val="0"/>
          <w:w w:val="100"/>
          <w:kern w:val="2"/>
          <w:sz w:val="28"/>
          <w:szCs w:val="28"/>
          <w:lang w:val="en-US" w:eastAsia="zh-CN"/>
        </w:rPr>
        <w:fldChar w:fldCharType="end"/>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《粉尘防爆安全规程》（GB15577-2018）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《危险化学品仓库储存通则》（GB 15603-2022）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《腐蚀性商品储存养护技术条件》（GB17915-2013）</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《易燃易爆性商品储存养护技术条件》（GB17914-2013）</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《危险货物品名表》（GB12268-2012）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《危险化学品重大危险源辨识》（GB18218-2018）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《危险化学品生产装置和储存设施风险基准》（GB36894-2018）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《危险化学品生产装置和储存设施外部安全防护距离确定方法》（</w:t>
      </w:r>
      <w:r>
        <w:rPr>
          <w:rFonts w:hint="eastAsia" w:cs="Times New Roman"/>
          <w:snapToGrid/>
          <w:spacing w:val="0"/>
          <w:w w:val="100"/>
          <w:kern w:val="2"/>
          <w:sz w:val="28"/>
          <w:szCs w:val="28"/>
          <w:lang w:val="en-US" w:eastAsia="zh-CN"/>
        </w:rPr>
        <w:t>GB/T 37243-2019</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《锅炉房设计标准》（GB50041-2020）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《建筑抗震设计规范》（GB50011-2010[2016年版]）</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《建筑灭火器配置设计规范》（GB50140-2005）</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《建筑灭火器配置验收及检查规范》（GB50444-2008）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《建筑物防雷设计规范》（GB50057-2010）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《建筑施工土石方工程安全技术规范》（JGJ 180-2009）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《化工企业腐蚀环境电力设计规程》（HG/T</w:t>
      </w: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20666-1999）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《工业建筑防腐蚀设计标准》（GB/T</w:t>
      </w: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50046-2018）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《石油化工储运系统罐区设计规范》（SH/T</w:t>
      </w: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3007-2014）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《储罐区防火堤设计规范》（GB 50351-2014）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《消防设施通用规范》（GB55036-2022）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《消防给水及消火栓系统技术规范》（GB50974-2014）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《室外排水设计标准》（GB50014-2021）</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《室外给水设计标准》（GB50013-2018）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《工业循环水冷却设计规范》（GB/T</w:t>
      </w: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50102-2014）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《化工采暖通风与空气调节设计规范》（HG/T</w:t>
      </w:r>
      <w:r>
        <w:rPr>
          <w:rFonts w:hint="eastAsia" w:cs="Times New Roman"/>
          <w:snapToGrid/>
          <w:spacing w:val="0"/>
          <w:w w:val="100"/>
          <w:kern w:val="2"/>
          <w:sz w:val="28"/>
          <w:szCs w:val="28"/>
          <w:lang w:val="en-US" w:eastAsia="zh-CN"/>
        </w:rPr>
        <w:t xml:space="preserve"> </w:t>
      </w:r>
      <w:r>
        <w:rPr>
          <w:rFonts w:hint="eastAsia" w:ascii="Times New Roman" w:hAnsi="Times New Roman" w:eastAsia="宋体" w:cs="Times New Roman"/>
          <w:snapToGrid/>
          <w:spacing w:val="0"/>
          <w:w w:val="100"/>
          <w:kern w:val="2"/>
          <w:sz w:val="28"/>
          <w:szCs w:val="28"/>
          <w:lang w:val="en-US" w:eastAsia="zh-CN"/>
        </w:rPr>
        <w:t>20698-2009）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《工业建筑供暖通风与空气调节设计规范》（GB 50019-2015）</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《石油化工可燃气体和有毒气体检测报警设计标准》（GB/T 50493-2019）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《石油化工静电接地设计规范》</w:t>
      </w:r>
      <w:r>
        <w:rPr>
          <w:rFonts w:hint="eastAsia" w:ascii="Times New Roman" w:hAnsi="Times New Roman" w:eastAsia="宋体" w:cs="Times New Roman"/>
          <w:snapToGrid/>
          <w:spacing w:val="0"/>
          <w:w w:val="100"/>
          <w:kern w:val="2"/>
          <w:sz w:val="28"/>
          <w:szCs w:val="28"/>
          <w:lang w:val="en-US" w:eastAsia="zh-CN"/>
        </w:rPr>
        <w:t>（</w:t>
      </w:r>
      <w:r>
        <w:rPr>
          <w:rFonts w:hint="default" w:ascii="Times New Roman" w:hAnsi="Times New Roman" w:eastAsia="宋体" w:cs="Times New Roman"/>
          <w:snapToGrid/>
          <w:spacing w:val="0"/>
          <w:w w:val="100"/>
          <w:kern w:val="2"/>
          <w:sz w:val="28"/>
          <w:szCs w:val="28"/>
          <w:lang w:val="en-US" w:eastAsia="zh-CN"/>
        </w:rPr>
        <w:t>SH</w:t>
      </w:r>
      <w:r>
        <w:rPr>
          <w:rFonts w:hint="eastAsia" w:ascii="Times New Roman" w:hAnsi="Times New Roman" w:eastAsia="宋体" w:cs="Times New Roman"/>
          <w:snapToGrid/>
          <w:spacing w:val="0"/>
          <w:w w:val="100"/>
          <w:kern w:val="2"/>
          <w:sz w:val="28"/>
          <w:szCs w:val="28"/>
          <w:lang w:val="en-US" w:eastAsia="zh-CN"/>
        </w:rPr>
        <w:t>/</w:t>
      </w:r>
      <w:r>
        <w:rPr>
          <w:rFonts w:hint="default" w:ascii="Times New Roman" w:hAnsi="Times New Roman" w:eastAsia="宋体" w:cs="Times New Roman"/>
          <w:snapToGrid/>
          <w:spacing w:val="0"/>
          <w:w w:val="100"/>
          <w:kern w:val="2"/>
          <w:sz w:val="28"/>
          <w:szCs w:val="28"/>
          <w:lang w:val="en-US" w:eastAsia="zh-CN"/>
        </w:rPr>
        <w:t>T 3097-2017</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《工业金属管道工程施工规范》（GB50235-2010）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《爆炸危险环境电力装置设计规范》（GB50058-2014）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爆炸性环境 第1部分：设备 通用要求</w:t>
      </w:r>
      <w:r>
        <w:rPr>
          <w:rFonts w:hint="eastAsia" w:ascii="Times New Roman" w:hAnsi="Times New Roman" w:eastAsia="宋体" w:cs="Times New Roman"/>
          <w:snapToGrid/>
          <w:spacing w:val="0"/>
          <w:w w:val="100"/>
          <w:kern w:val="2"/>
          <w:sz w:val="28"/>
          <w:szCs w:val="28"/>
          <w:lang w:val="en-US" w:eastAsia="zh-CN"/>
        </w:rPr>
        <w:t>》（</w:t>
      </w:r>
      <w:r>
        <w:rPr>
          <w:rFonts w:hint="eastAsia" w:cs="Times New Roman"/>
          <w:snapToGrid/>
          <w:spacing w:val="0"/>
          <w:w w:val="100"/>
          <w:kern w:val="2"/>
          <w:sz w:val="28"/>
          <w:szCs w:val="28"/>
          <w:lang w:val="en-US" w:eastAsia="zh-CN"/>
        </w:rPr>
        <w:t>GB/T 3836.1-2021</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《用电安全导则》（GB/T13869-2017）</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《供配电系统设计规范》（GB50052-2009）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《低压配电设计规范》（GB50054-2011）</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《20kV及以下变电所设计规范》（GB50053-2013）</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《通用用电设备配电设计规范》（GB50055-2011）</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《剩余电流动作保护装置安装和运行》（GB/T13955-2017）</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《电气装置安装工程接地装置施工及验收规范》（GB50169-2016）</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《低压成套开关设备和控制设备 第1部分：总则》（</w:t>
      </w:r>
      <w:r>
        <w:rPr>
          <w:rFonts w:hint="eastAsia" w:cs="Times New Roman"/>
          <w:snapToGrid/>
          <w:spacing w:val="0"/>
          <w:w w:val="100"/>
          <w:kern w:val="2"/>
          <w:sz w:val="28"/>
          <w:szCs w:val="28"/>
          <w:lang w:val="en-US" w:eastAsia="zh-CN"/>
        </w:rPr>
        <w:t>GB/T 7251.1-2013</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《电气装置安装工程 爆炸和火灾危险环境电气装置施工及验收规范》（GB50257-2014）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《机械安全 防护装置 固定式和活动式防护装置的设计与制造一般要求》（GB/T 8196-2018）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《固定式钢梯及平台安全要求 第1部分：钢直梯》（GB4053.1-2009）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《固定式钢梯及平台安全要求 第2部分：钢斜梯》（GB4053.2-2009）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《固定式钢梯及平台安全要求 第3部分：工业防护栏杆及钢平台》（GB4053.3-2009）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固定式压力容器安全技术监察规程</w:t>
      </w:r>
      <w:r>
        <w:rPr>
          <w:rFonts w:hint="eastAsia" w:ascii="Times New Roman" w:hAnsi="Times New Roman" w:eastAsia="宋体" w:cs="Times New Roman"/>
          <w:snapToGrid/>
          <w:spacing w:val="0"/>
          <w:w w:val="100"/>
          <w:kern w:val="2"/>
          <w:sz w:val="28"/>
          <w:szCs w:val="28"/>
          <w:lang w:val="en-US" w:eastAsia="zh-CN"/>
        </w:rPr>
        <w:t>》（TSG 21-2016）</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《安全阀安全技术监察规程》（TSG ZF001-2006）</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《危险废物收集贮存运输技术规范》（HJ2025-2012）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pacing w:val="0"/>
          <w:sz w:val="28"/>
          <w:szCs w:val="28"/>
          <w:lang w:val="en-US" w:eastAsia="zh-CN"/>
        </w:rPr>
        <w:t xml:space="preserve"> 《企业职工伤亡事故分类》（GB6441-1986）</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《生产过程危险和有害因素分类与代码》（GB/T 13861-2022）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图形符号 安全色和安全标志 第5部分：安全标志使用原则与要求</w:t>
      </w:r>
      <w:r>
        <w:rPr>
          <w:rFonts w:hint="eastAsia" w:ascii="Times New Roman" w:hAnsi="Times New Roman" w:eastAsia="宋体" w:cs="Times New Roman"/>
          <w:snapToGrid/>
          <w:spacing w:val="0"/>
          <w:w w:val="100"/>
          <w:kern w:val="2"/>
          <w:sz w:val="28"/>
          <w:szCs w:val="28"/>
          <w:lang w:val="en-US" w:eastAsia="zh-CN"/>
        </w:rPr>
        <w:t>》（GB/T 2893.5-2020）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default"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default" w:ascii="Times New Roman" w:hAnsi="Times New Roman" w:eastAsia="宋体" w:cs="Times New Roman"/>
          <w:snapToGrid/>
          <w:spacing w:val="0"/>
          <w:w w:val="100"/>
          <w:kern w:val="2"/>
          <w:sz w:val="28"/>
          <w:szCs w:val="28"/>
          <w:lang w:val="en-US" w:eastAsia="zh-CN"/>
        </w:rPr>
        <w:t>《安全标志及其使用导则》（GB2</w:t>
      </w:r>
      <w:r>
        <w:rPr>
          <w:rFonts w:hint="eastAsia" w:ascii="Times New Roman" w:hAnsi="Times New Roman" w:eastAsia="宋体" w:cs="Times New Roman"/>
          <w:snapToGrid/>
          <w:spacing w:val="0"/>
          <w:w w:val="100"/>
          <w:kern w:val="2"/>
          <w:sz w:val="28"/>
          <w:szCs w:val="28"/>
          <w:lang w:val="en-US" w:eastAsia="zh-CN"/>
        </w:rPr>
        <w:t>8</w:t>
      </w:r>
      <w:r>
        <w:rPr>
          <w:rFonts w:hint="default" w:ascii="Times New Roman" w:hAnsi="Times New Roman" w:eastAsia="宋体" w:cs="Times New Roman"/>
          <w:snapToGrid/>
          <w:spacing w:val="0"/>
          <w:w w:val="100"/>
          <w:kern w:val="2"/>
          <w:sz w:val="28"/>
          <w:szCs w:val="28"/>
          <w:lang w:val="en-US" w:eastAsia="zh-CN"/>
        </w:rPr>
        <w:t>94-2008）</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《工业管道的基本识别色、识别符号和安全标识》（GB7231-2003）</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《消防安全标志设置要求》（GB15630-1995）</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《消防应急照明和疏散指示系统》（GB17945-2010）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个体防护装备配备规范 第1部分：总则</w:t>
      </w:r>
      <w:r>
        <w:rPr>
          <w:rFonts w:hint="eastAsia" w:ascii="Times New Roman" w:hAnsi="Times New Roman" w:eastAsia="宋体" w:cs="Times New Roman"/>
          <w:snapToGrid/>
          <w:spacing w:val="0"/>
          <w:w w:val="100"/>
          <w:kern w:val="2"/>
          <w:sz w:val="28"/>
          <w:szCs w:val="28"/>
          <w:lang w:val="en-US" w:eastAsia="zh-CN"/>
        </w:rPr>
        <w:t>》（</w:t>
      </w:r>
      <w:r>
        <w:rPr>
          <w:rFonts w:hint="eastAsia" w:cs="Times New Roman"/>
          <w:snapToGrid/>
          <w:spacing w:val="0"/>
          <w:w w:val="100"/>
          <w:kern w:val="2"/>
          <w:sz w:val="28"/>
          <w:szCs w:val="28"/>
          <w:lang w:val="en-US" w:eastAsia="zh-CN"/>
        </w:rPr>
        <w:t>GB 39800.1-2020</w:t>
      </w:r>
      <w:r>
        <w:rPr>
          <w:rFonts w:hint="eastAsia" w:ascii="Times New Roman" w:hAnsi="Times New Roman" w:eastAsia="宋体" w:cs="Times New Roman"/>
          <w:snapToGrid/>
          <w:spacing w:val="0"/>
          <w:w w:val="100"/>
          <w:kern w:val="2"/>
          <w:sz w:val="28"/>
          <w:szCs w:val="28"/>
          <w:lang w:val="en-US" w:eastAsia="zh-CN"/>
        </w:rPr>
        <w:t>）</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《仓储场所消防安全管理通则》（XF1131-2014）</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《化学品作业场所安全警示标志规范》（AQ3047-2013）</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《危险化学品单位应急救援物资配备要求》（GB30077-2013）</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《危险化学品企业特殊作业安全规范》（GB30871-2022）</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《生产经营单位生产安全事故应急预案编制导则》（GB/T29639-2020）</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《生产安全事故应急演练评估规范》（AQ/T9009-2015）</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《生产安全事故应急演练基本规范》（AQ/T9007-2019）</w:t>
      </w:r>
    </w:p>
    <w:p>
      <w:pPr>
        <w:keepNext w:val="0"/>
        <w:keepLines w:val="0"/>
        <w:pageBreakBefore w:val="0"/>
        <w:widowControl w:val="0"/>
        <w:numPr>
          <w:ilvl w:val="0"/>
          <w:numId w:val="19"/>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《生产经营单位生产安全事故应急预案评估指南》（AQ/T9011-2019）</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186" w:name="_Toc22315_WPSOffice_Level2"/>
      <w:r>
        <w:rPr>
          <w:rFonts w:hint="eastAsia" w:ascii="Times New Roman" w:hAnsi="Times New Roman" w:eastAsia="宋体" w:cs="Times New Roman"/>
          <w:color w:val="000000"/>
          <w:kern w:val="2"/>
          <w:sz w:val="28"/>
          <w:szCs w:val="28"/>
          <w:lang w:val="en-US" w:eastAsia="zh-CN" w:bidi="ar-SA"/>
        </w:rPr>
        <w:t>附件1.5 其它</w:t>
      </w:r>
      <w:bookmarkEnd w:id="186"/>
      <w:r>
        <w:rPr>
          <w:rFonts w:hint="eastAsia" w:ascii="Times New Roman" w:hAnsi="Times New Roman" w:eastAsia="宋体" w:cs="Times New Roman"/>
          <w:color w:val="000000"/>
          <w:kern w:val="2"/>
          <w:sz w:val="28"/>
          <w:szCs w:val="28"/>
          <w:lang w:val="en-US" w:eastAsia="zh-CN" w:bidi="ar-SA"/>
        </w:rPr>
        <w:t>相关资料</w:t>
      </w:r>
    </w:p>
    <w:p>
      <w:pPr>
        <w:keepNext w:val="0"/>
        <w:keepLines w:val="0"/>
        <w:pageBreakBefore w:val="0"/>
        <w:widowControl w:val="0"/>
        <w:numPr>
          <w:ilvl w:val="0"/>
          <w:numId w:val="20"/>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eastAsia="zh-CN"/>
        </w:rPr>
        <w:t>黑山鸿泰化工有限公司</w:t>
      </w:r>
      <w:r>
        <w:rPr>
          <w:rFonts w:hint="eastAsia" w:ascii="Times New Roman" w:hAnsi="Times New Roman" w:eastAsia="宋体" w:cs="Times New Roman"/>
          <w:snapToGrid/>
          <w:spacing w:val="0"/>
          <w:w w:val="100"/>
          <w:kern w:val="2"/>
          <w:sz w:val="28"/>
          <w:szCs w:val="28"/>
        </w:rPr>
        <w:t>安全设计诊断报告》</w:t>
      </w:r>
      <w:r>
        <w:rPr>
          <w:rFonts w:hint="eastAsia" w:ascii="Times New Roman" w:hAnsi="Times New Roman" w:eastAsia="宋体" w:cs="Times New Roman"/>
          <w:snapToGrid/>
          <w:spacing w:val="0"/>
          <w:w w:val="100"/>
          <w:kern w:val="2"/>
          <w:sz w:val="28"/>
          <w:szCs w:val="28"/>
          <w:lang w:eastAsia="zh-CN"/>
        </w:rPr>
        <w:t>（</w:t>
      </w:r>
      <w:r>
        <w:rPr>
          <w:rFonts w:hint="eastAsia" w:cs="Times New Roman"/>
          <w:snapToGrid/>
          <w:spacing w:val="0"/>
          <w:w w:val="100"/>
          <w:kern w:val="2"/>
          <w:sz w:val="28"/>
          <w:szCs w:val="28"/>
          <w:lang w:val="en-US" w:eastAsia="zh-CN"/>
        </w:rPr>
        <w:t>山东富海石化工程有限公司，</w:t>
      </w:r>
      <w:r>
        <w:rPr>
          <w:rFonts w:hint="eastAsia" w:ascii="Times New Roman" w:hAnsi="Times New Roman" w:eastAsia="宋体" w:cs="Times New Roman"/>
          <w:snapToGrid/>
          <w:spacing w:val="0"/>
          <w:w w:val="100"/>
          <w:kern w:val="2"/>
          <w:sz w:val="28"/>
          <w:szCs w:val="28"/>
          <w:lang w:val="en-US" w:eastAsia="zh-CN"/>
        </w:rPr>
        <w:t>2022年</w:t>
      </w:r>
      <w:r>
        <w:rPr>
          <w:rFonts w:hint="eastAsia" w:cs="Times New Roman"/>
          <w:snapToGrid/>
          <w:spacing w:val="0"/>
          <w:w w:val="100"/>
          <w:kern w:val="2"/>
          <w:sz w:val="28"/>
          <w:szCs w:val="28"/>
          <w:lang w:val="en-US" w:eastAsia="zh-CN"/>
        </w:rPr>
        <w:t>06</w:t>
      </w:r>
      <w:r>
        <w:rPr>
          <w:rFonts w:hint="eastAsia" w:ascii="Times New Roman" w:hAnsi="Times New Roman" w:eastAsia="宋体" w:cs="Times New Roman"/>
          <w:snapToGrid/>
          <w:spacing w:val="0"/>
          <w:w w:val="100"/>
          <w:kern w:val="2"/>
          <w:sz w:val="28"/>
          <w:szCs w:val="28"/>
          <w:lang w:val="en-US" w:eastAsia="zh-CN"/>
        </w:rPr>
        <w:t>月编制</w:t>
      </w:r>
      <w:r>
        <w:rPr>
          <w:rFonts w:hint="eastAsia" w:ascii="Times New Roman" w:hAnsi="Times New Roman" w:eastAsia="宋体" w:cs="Times New Roman"/>
          <w:snapToGrid/>
          <w:spacing w:val="0"/>
          <w:w w:val="100"/>
          <w:kern w:val="2"/>
          <w:sz w:val="28"/>
          <w:szCs w:val="28"/>
          <w:lang w:eastAsia="zh-CN"/>
        </w:rPr>
        <w:t>）；</w:t>
      </w:r>
    </w:p>
    <w:p>
      <w:pPr>
        <w:keepNext w:val="0"/>
        <w:keepLines w:val="0"/>
        <w:pageBreakBefore w:val="0"/>
        <w:widowControl w:val="0"/>
        <w:numPr>
          <w:ilvl w:val="0"/>
          <w:numId w:val="20"/>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黑山鸿泰化工有限公司</w:t>
      </w:r>
      <w:r>
        <w:rPr>
          <w:rFonts w:hint="eastAsia" w:ascii="Times New Roman" w:hAnsi="Times New Roman" w:eastAsia="宋体" w:cs="Times New Roman"/>
          <w:snapToGrid/>
          <w:spacing w:val="0"/>
          <w:w w:val="100"/>
          <w:kern w:val="2"/>
          <w:sz w:val="28"/>
          <w:szCs w:val="28"/>
          <w:lang w:val="en-US" w:eastAsia="zh-CN"/>
        </w:rPr>
        <w:t>和</w:t>
      </w:r>
      <w:r>
        <w:rPr>
          <w:rFonts w:hint="eastAsia" w:cs="Times New Roman"/>
          <w:snapToGrid/>
          <w:spacing w:val="0"/>
          <w:w w:val="100"/>
          <w:kern w:val="2"/>
          <w:sz w:val="28"/>
          <w:szCs w:val="28"/>
          <w:lang w:val="en-US" w:eastAsia="zh-CN"/>
        </w:rPr>
        <w:t>大连百悦安全技术服务有限公司</w:t>
      </w:r>
      <w:r>
        <w:rPr>
          <w:rFonts w:hint="eastAsia" w:ascii="Times New Roman" w:hAnsi="Times New Roman" w:eastAsia="宋体" w:cs="Times New Roman"/>
          <w:snapToGrid/>
          <w:spacing w:val="0"/>
          <w:w w:val="100"/>
          <w:kern w:val="2"/>
          <w:sz w:val="28"/>
          <w:szCs w:val="28"/>
          <w:lang w:val="en-US" w:eastAsia="zh-CN"/>
        </w:rPr>
        <w:t>双方签订的安全评价技术咨询合同；</w:t>
      </w:r>
    </w:p>
    <w:p>
      <w:pPr>
        <w:keepNext w:val="0"/>
        <w:keepLines w:val="0"/>
        <w:pageBreakBefore w:val="0"/>
        <w:widowControl w:val="0"/>
        <w:numPr>
          <w:ilvl w:val="0"/>
          <w:numId w:val="20"/>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黑山鸿泰化工有限公司</w:t>
      </w:r>
      <w:r>
        <w:rPr>
          <w:rFonts w:hint="eastAsia" w:ascii="Times New Roman" w:hAnsi="Times New Roman" w:eastAsia="宋体" w:cs="Times New Roman"/>
          <w:snapToGrid/>
          <w:spacing w:val="0"/>
          <w:w w:val="100"/>
          <w:kern w:val="2"/>
          <w:sz w:val="28"/>
          <w:szCs w:val="28"/>
          <w:lang w:val="en-US" w:eastAsia="zh-CN"/>
        </w:rPr>
        <w:t>提供的相关书面资料、文件和数据等；</w:t>
      </w:r>
    </w:p>
    <w:p>
      <w:pPr>
        <w:keepNext w:val="0"/>
        <w:keepLines w:val="0"/>
        <w:pageBreakBefore w:val="0"/>
        <w:widowControl w:val="0"/>
        <w:numPr>
          <w:ilvl w:val="0"/>
          <w:numId w:val="20"/>
        </w:numPr>
        <w:tabs>
          <w:tab w:val="left" w:pos="1106"/>
          <w:tab w:val="left" w:pos="1400"/>
        </w:tabs>
        <w:kinsoku/>
        <w:wordWrap/>
        <w:overflowPunct/>
        <w:topLinePunct/>
        <w:autoSpaceDE/>
        <w:autoSpaceDN/>
        <w:bidi w:val="0"/>
        <w:adjustRightInd w:val="0"/>
        <w:snapToGrid/>
        <w:spacing w:line="360" w:lineRule="auto"/>
        <w:ind w:firstLine="560" w:firstLineChars="200"/>
        <w:textAlignment w:val="auto"/>
        <w:rPr>
          <w:rFonts w:hint="eastAsia" w:ascii="Times New Roman" w:hAnsi="Times New Roman" w:eastAsia="宋体" w:cs="Times New Roman"/>
          <w:snapToGrid/>
          <w:spacing w:val="0"/>
          <w:w w:val="100"/>
          <w:kern w:val="2"/>
          <w:sz w:val="28"/>
          <w:szCs w:val="28"/>
          <w:lang w:val="en-US" w:eastAsia="zh-CN"/>
        </w:rPr>
      </w:pPr>
      <w:r>
        <w:rPr>
          <w:rFonts w:hint="eastAsia" w:ascii="Times New Roman" w:hAnsi="Times New Roman" w:eastAsia="宋体" w:cs="Times New Roman"/>
          <w:snapToGrid/>
          <w:spacing w:val="0"/>
          <w:w w:val="100"/>
          <w:kern w:val="2"/>
          <w:sz w:val="28"/>
          <w:szCs w:val="28"/>
          <w:lang w:val="en-US" w:eastAsia="zh-CN"/>
        </w:rPr>
        <w:t xml:space="preserve"> </w:t>
      </w:r>
      <w:r>
        <w:rPr>
          <w:rFonts w:hint="eastAsia" w:cs="Times New Roman"/>
          <w:snapToGrid/>
          <w:spacing w:val="0"/>
          <w:w w:val="100"/>
          <w:kern w:val="2"/>
          <w:sz w:val="28"/>
          <w:szCs w:val="28"/>
          <w:lang w:val="en-US" w:eastAsia="zh-CN"/>
        </w:rPr>
        <w:t>大连百悦安全技术服务有限公司</w:t>
      </w:r>
      <w:r>
        <w:rPr>
          <w:rFonts w:hint="eastAsia" w:ascii="Times New Roman" w:hAnsi="Times New Roman" w:eastAsia="宋体" w:cs="Times New Roman"/>
          <w:snapToGrid/>
          <w:spacing w:val="0"/>
          <w:w w:val="100"/>
          <w:kern w:val="2"/>
          <w:sz w:val="28"/>
          <w:szCs w:val="28"/>
          <w:lang w:val="en-US" w:eastAsia="zh-CN"/>
        </w:rPr>
        <w:t>技术人员现场收集的资料、数据等</w:t>
      </w:r>
      <w:bookmarkStart w:id="187" w:name="_Toc202240581"/>
      <w:r>
        <w:rPr>
          <w:rFonts w:hint="eastAsia" w:ascii="Times New Roman" w:hAnsi="Times New Roman" w:eastAsia="宋体" w:cs="Times New Roman"/>
          <w:snapToGrid/>
          <w:spacing w:val="0"/>
          <w:w w:val="100"/>
          <w:kern w:val="2"/>
          <w:sz w:val="28"/>
          <w:szCs w:val="28"/>
          <w:lang w:val="en-US" w:eastAsia="zh-CN"/>
        </w:rPr>
        <w:t>。</w:t>
      </w: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p>
      <w:pPr>
        <w:pStyle w:val="21"/>
        <w:rPr>
          <w:rFonts w:hint="eastAsia" w:ascii="Times New Roman" w:hAnsi="Times New Roman" w:eastAsia="宋体" w:cs="Times New Roman"/>
          <w:snapToGrid/>
          <w:spacing w:val="0"/>
          <w:w w:val="100"/>
          <w:kern w:val="2"/>
          <w:sz w:val="28"/>
          <w:szCs w:val="28"/>
          <w:lang w:val="en-US" w:eastAsia="zh-CN"/>
        </w:rPr>
      </w:pPr>
    </w:p>
    <w:bookmarkEnd w:id="187"/>
    <w:p>
      <w:pPr>
        <w:rPr>
          <w:rFonts w:hint="eastAsia" w:ascii="楷体" w:hAnsi="楷体" w:eastAsia="楷体" w:cs="楷体"/>
          <w:b w:val="0"/>
          <w:bCs/>
          <w:kern w:val="2"/>
          <w:sz w:val="32"/>
          <w:szCs w:val="32"/>
          <w:lang w:val="en-US" w:eastAsia="zh-CN"/>
        </w:rPr>
      </w:pPr>
      <w:bookmarkStart w:id="188" w:name="_Toc31388_WPSOffice_Level2"/>
      <w:bookmarkStart w:id="189" w:name="_Toc12868"/>
      <w:bookmarkStart w:id="190" w:name="_Toc532977016"/>
      <w:bookmarkStart w:id="191" w:name="_Toc532977017"/>
      <w:bookmarkStart w:id="192" w:name="_Toc20407_WPSOffice_Level1"/>
      <w:bookmarkStart w:id="193" w:name="_Toc202240582"/>
      <w:bookmarkStart w:id="194" w:name="_Toc96_WPSOffice_Level2"/>
      <w:bookmarkStart w:id="195" w:name="_Toc532977018"/>
      <w:bookmarkStart w:id="196" w:name="_Toc12262_WPSOffice_Level1"/>
      <w:r>
        <w:rPr>
          <w:rFonts w:hint="eastAsia" w:ascii="楷体" w:hAnsi="楷体" w:eastAsia="楷体" w:cs="楷体"/>
          <w:b w:val="0"/>
          <w:bCs/>
          <w:kern w:val="2"/>
          <w:sz w:val="32"/>
          <w:szCs w:val="32"/>
          <w:lang w:val="en-US" w:eastAsia="zh-CN"/>
        </w:rPr>
        <w:br w:type="page"/>
      </w:r>
    </w:p>
    <w:p>
      <w:pPr>
        <w:pStyle w:val="4"/>
        <w:keepNext/>
        <w:keepLines/>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360" w:lineRule="auto"/>
        <w:ind w:left="573" w:leftChars="0" w:hanging="575"/>
        <w:jc w:val="center"/>
        <w:textAlignment w:val="auto"/>
        <w:rPr>
          <w:rFonts w:hint="eastAsia" w:ascii="楷体" w:hAnsi="楷体" w:eastAsia="楷体" w:cs="楷体"/>
          <w:b w:val="0"/>
          <w:bCs/>
          <w:kern w:val="2"/>
          <w:sz w:val="32"/>
          <w:szCs w:val="32"/>
          <w:lang w:val="en-US" w:eastAsia="zh-CN"/>
        </w:rPr>
      </w:pPr>
      <w:r>
        <w:rPr>
          <w:rFonts w:hint="eastAsia" w:ascii="楷体" w:hAnsi="楷体" w:eastAsia="楷体" w:cs="楷体"/>
          <w:b w:val="0"/>
          <w:bCs/>
          <w:kern w:val="2"/>
          <w:sz w:val="32"/>
          <w:szCs w:val="32"/>
          <w:lang w:val="en-US" w:eastAsia="zh-CN"/>
        </w:rPr>
        <w:t>附件2 危险、有害因素辨识、分析过程</w:t>
      </w:r>
      <w:bookmarkEnd w:id="188"/>
      <w:bookmarkEnd w:id="189"/>
      <w:bookmarkEnd w:id="190"/>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197" w:name="_Toc1810_WPSOffice_Level1"/>
      <w:bookmarkStart w:id="198" w:name="_Toc31928_WPSOffice_Level2"/>
      <w:bookmarkStart w:id="199" w:name="_Toc17055"/>
      <w:r>
        <w:rPr>
          <w:rFonts w:hint="eastAsia" w:ascii="Times New Roman" w:hAnsi="Times New Roman" w:eastAsia="宋体" w:cs="Times New Roman"/>
          <w:color w:val="000000"/>
          <w:kern w:val="2"/>
          <w:sz w:val="28"/>
          <w:szCs w:val="28"/>
          <w:lang w:val="en-US" w:eastAsia="zh-CN" w:bidi="ar-SA"/>
        </w:rPr>
        <w:t>附件2.1 物质的危险、有害因素辨识、分析</w:t>
      </w:r>
      <w:bookmarkEnd w:id="197"/>
      <w:bookmarkEnd w:id="198"/>
      <w:bookmarkEnd w:id="199"/>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default" w:ascii="Times New Roman" w:hAnsi="Times New Roman" w:eastAsia="宋体" w:cs="Times New Roman"/>
          <w:color w:val="000000"/>
          <w:kern w:val="2"/>
          <w:sz w:val="28"/>
          <w:szCs w:val="28"/>
          <w:lang w:val="en-US" w:eastAsia="zh-CN" w:bidi="ar-SA"/>
        </w:rPr>
      </w:pPr>
      <w:bookmarkStart w:id="200" w:name="_Toc4556_WPSOffice_Level1"/>
      <w:bookmarkStart w:id="201" w:name="_Toc32310_WPSOffice_Level1"/>
      <w:bookmarkStart w:id="202" w:name="_Toc27555_WPSOffice_Level1"/>
      <w:r>
        <w:rPr>
          <w:rFonts w:hint="eastAsia" w:ascii="Times New Roman" w:hAnsi="Times New Roman" w:eastAsia="宋体" w:cs="Times New Roman"/>
          <w:color w:val="000000"/>
          <w:kern w:val="2"/>
          <w:sz w:val="28"/>
          <w:szCs w:val="28"/>
          <w:lang w:val="en-US" w:eastAsia="zh-CN" w:bidi="ar-SA"/>
        </w:rPr>
        <w:t xml:space="preserve">附件2.1.1 </w:t>
      </w:r>
      <w:bookmarkEnd w:id="200"/>
      <w:bookmarkEnd w:id="201"/>
      <w:bookmarkEnd w:id="202"/>
      <w:r>
        <w:rPr>
          <w:rFonts w:hint="eastAsia" w:ascii="Times New Roman" w:hAnsi="Times New Roman" w:eastAsia="宋体" w:cs="Times New Roman"/>
          <w:color w:val="000000"/>
          <w:kern w:val="2"/>
          <w:sz w:val="28"/>
          <w:szCs w:val="28"/>
          <w:lang w:val="en-US" w:eastAsia="zh-CN" w:bidi="ar-SA"/>
        </w:rPr>
        <w:t>硫酸</w:t>
      </w:r>
    </w:p>
    <w:tbl>
      <w:tblPr>
        <w:tblStyle w:val="37"/>
        <w:tblW w:w="4922"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37"/>
        <w:gridCol w:w="844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66" w:hRule="atLeast"/>
          <w:jc w:val="center"/>
        </w:trPr>
        <w:tc>
          <w:tcPr>
            <w:tcW w:w="737" w:type="dxa"/>
            <w:noWrap w:val="0"/>
            <w:vAlign w:val="center"/>
          </w:tcPr>
          <w:p>
            <w:pPr>
              <w:pStyle w:val="13"/>
              <w:rPr>
                <w:rFonts w:hint="default" w:ascii="Times New Roman" w:hAnsi="Times New Roman" w:cs="Times New Roman"/>
                <w:sz w:val="21"/>
                <w:szCs w:val="21"/>
                <w:lang w:val="en-US" w:eastAsia="zh-CN"/>
              </w:rPr>
            </w:pPr>
            <w:bookmarkStart w:id="203" w:name="_Toc25423_WPSOffice_Level1"/>
            <w:bookmarkStart w:id="204" w:name="_Toc9586_WPSOffice_Level2"/>
            <w:r>
              <w:rPr>
                <w:rFonts w:hint="default" w:ascii="Times New Roman" w:hAnsi="Times New Roman" w:cs="Times New Roman"/>
                <w:sz w:val="21"/>
                <w:szCs w:val="21"/>
                <w:lang w:val="en-US" w:eastAsia="zh-CN"/>
              </w:rPr>
              <w:t>标</w:t>
            </w:r>
          </w:p>
          <w:p>
            <w:pPr>
              <w:jc w:val="center"/>
              <w:rPr>
                <w:rFonts w:hint="default" w:ascii="Times New Roman" w:hAnsi="Times New Roman" w:cs="Times New Roman"/>
                <w:sz w:val="21"/>
                <w:szCs w:val="21"/>
              </w:rPr>
            </w:pPr>
            <w:r>
              <w:rPr>
                <w:rFonts w:hint="default" w:ascii="Times New Roman" w:hAnsi="Times New Roman" w:cs="Times New Roman"/>
                <w:sz w:val="21"/>
                <w:szCs w:val="21"/>
              </w:rPr>
              <w:t>识</w:t>
            </w:r>
          </w:p>
        </w:tc>
        <w:tc>
          <w:tcPr>
            <w:tcW w:w="8444" w:type="dxa"/>
            <w:noWrap w:val="0"/>
            <w:vAlign w:val="center"/>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中文名：硫酸      英文名：Sulfuric acid</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分子式：H</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SO</w:t>
            </w:r>
            <w:r>
              <w:rPr>
                <w:rFonts w:hint="default" w:ascii="Times New Roman" w:hAnsi="Times New Roman" w:cs="Times New Roman"/>
                <w:sz w:val="21"/>
                <w:szCs w:val="21"/>
                <w:vertAlign w:val="subscript"/>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04" w:hRule="atLeast"/>
          <w:jc w:val="center"/>
        </w:trPr>
        <w:tc>
          <w:tcPr>
            <w:tcW w:w="737" w:type="dxa"/>
            <w:noWrap w:val="0"/>
            <w:vAlign w:val="center"/>
          </w:tcPr>
          <w:p>
            <w:pPr>
              <w:pStyle w:val="13"/>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理</w:t>
            </w:r>
          </w:p>
          <w:p>
            <w:pPr>
              <w:jc w:val="center"/>
              <w:rPr>
                <w:rFonts w:hint="default" w:ascii="Times New Roman" w:hAnsi="Times New Roman" w:cs="Times New Roman"/>
                <w:sz w:val="21"/>
                <w:szCs w:val="21"/>
              </w:rPr>
            </w:pPr>
            <w:r>
              <w:rPr>
                <w:rFonts w:hint="default" w:ascii="Times New Roman" w:hAnsi="Times New Roman" w:cs="Times New Roman"/>
                <w:sz w:val="21"/>
                <w:szCs w:val="21"/>
              </w:rPr>
              <w:t>化</w:t>
            </w:r>
          </w:p>
          <w:p>
            <w:pPr>
              <w:jc w:val="center"/>
              <w:rPr>
                <w:rFonts w:hint="default" w:ascii="Times New Roman" w:hAnsi="Times New Roman" w:cs="Times New Roman"/>
                <w:sz w:val="21"/>
                <w:szCs w:val="21"/>
              </w:rPr>
            </w:pPr>
            <w:r>
              <w:rPr>
                <w:rFonts w:hint="default" w:ascii="Times New Roman" w:hAnsi="Times New Roman" w:cs="Times New Roman"/>
                <w:sz w:val="21"/>
                <w:szCs w:val="21"/>
              </w:rPr>
              <w:t>性</w:t>
            </w:r>
          </w:p>
          <w:p>
            <w:pPr>
              <w:jc w:val="center"/>
              <w:rPr>
                <w:rFonts w:hint="default" w:ascii="Times New Roman" w:hAnsi="Times New Roman" w:cs="Times New Roman"/>
                <w:sz w:val="21"/>
                <w:szCs w:val="21"/>
              </w:rPr>
            </w:pPr>
            <w:r>
              <w:rPr>
                <w:rFonts w:hint="default" w:ascii="Times New Roman" w:hAnsi="Times New Roman" w:cs="Times New Roman"/>
                <w:sz w:val="21"/>
                <w:szCs w:val="21"/>
              </w:rPr>
              <w:t>质</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性状：无色透明油状液体，无臭。与水混溶</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饱和蒸汽压(kPa)：0.13／145.8℃</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熔点(℃)：10.5                         沸点(℃)：330.0</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相对密度(水=1)：1.83                   相对密度(空气=1)：3.4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22"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危</w:t>
            </w:r>
          </w:p>
          <w:p>
            <w:pPr>
              <w:jc w:val="center"/>
              <w:rPr>
                <w:rFonts w:hint="default" w:ascii="Times New Roman" w:hAnsi="Times New Roman" w:cs="Times New Roman"/>
                <w:sz w:val="21"/>
                <w:szCs w:val="21"/>
              </w:rPr>
            </w:pPr>
            <w:r>
              <w:rPr>
                <w:rFonts w:hint="default" w:ascii="Times New Roman" w:hAnsi="Times New Roman" w:cs="Times New Roman"/>
                <w:sz w:val="21"/>
                <w:szCs w:val="21"/>
              </w:rPr>
              <w:t>险</w:t>
            </w:r>
          </w:p>
          <w:p>
            <w:pPr>
              <w:jc w:val="center"/>
              <w:rPr>
                <w:rFonts w:hint="default" w:ascii="Times New Roman" w:hAnsi="Times New Roman" w:cs="Times New Roman"/>
                <w:sz w:val="21"/>
                <w:szCs w:val="21"/>
              </w:rPr>
            </w:pPr>
            <w:r>
              <w:rPr>
                <w:rFonts w:hint="default" w:ascii="Times New Roman" w:hAnsi="Times New Roman" w:cs="Times New Roman"/>
                <w:sz w:val="21"/>
                <w:szCs w:val="21"/>
              </w:rPr>
              <w:t>性</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腐蚀性，遇水爆溅；遇H发泡剂会引起燃烧；有强腐蚀性；有毒或其蒸气有毒；有吸湿性或易潮解；有强氧化性</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灭火方法：砂土。禁止用水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49"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毒</w:t>
            </w:r>
          </w:p>
          <w:p>
            <w:pPr>
              <w:jc w:val="center"/>
              <w:rPr>
                <w:rFonts w:hint="default" w:ascii="Times New Roman" w:hAnsi="Times New Roman" w:cs="Times New Roman"/>
                <w:sz w:val="21"/>
                <w:szCs w:val="21"/>
              </w:rPr>
            </w:pPr>
            <w:r>
              <w:rPr>
                <w:rFonts w:hint="default" w:ascii="Times New Roman" w:hAnsi="Times New Roman" w:cs="Times New Roman"/>
                <w:sz w:val="21"/>
                <w:szCs w:val="21"/>
              </w:rPr>
              <w:t>性</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LD</w:t>
            </w:r>
            <w:r>
              <w:rPr>
                <w:rFonts w:hint="default" w:ascii="Times New Roman" w:hAnsi="Times New Roman" w:cs="Times New Roman"/>
                <w:sz w:val="21"/>
                <w:szCs w:val="21"/>
                <w:vertAlign w:val="subscript"/>
              </w:rPr>
              <w:t>50</w:t>
            </w:r>
            <w:r>
              <w:rPr>
                <w:rFonts w:hint="default" w:ascii="Times New Roman" w:hAnsi="Times New Roman" w:cs="Times New Roman"/>
                <w:sz w:val="21"/>
                <w:szCs w:val="21"/>
              </w:rPr>
              <w:t>：2140mg/kg(大鼠经口)</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LC</w:t>
            </w:r>
            <w:r>
              <w:rPr>
                <w:rFonts w:hint="default" w:ascii="Times New Roman" w:hAnsi="Times New Roman" w:cs="Times New Roman"/>
                <w:sz w:val="21"/>
                <w:szCs w:val="21"/>
                <w:vertAlign w:val="subscript"/>
              </w:rPr>
              <w:t>50</w:t>
            </w:r>
            <w:r>
              <w:rPr>
                <w:rFonts w:hint="default" w:ascii="Times New Roman" w:hAnsi="Times New Roman" w:cs="Times New Roman"/>
                <w:sz w:val="21"/>
                <w:szCs w:val="21"/>
              </w:rPr>
              <w:t>：510mg/m</w:t>
            </w:r>
            <w:r>
              <w:rPr>
                <w:rFonts w:hint="default" w:ascii="Times New Roman" w:hAnsi="Times New Roman" w:cs="Times New Roman"/>
                <w:sz w:val="21"/>
                <w:szCs w:val="21"/>
                <w:vertAlign w:val="superscript"/>
              </w:rPr>
              <w:t xml:space="preserve">3 </w:t>
            </w:r>
            <w:r>
              <w:rPr>
                <w:rFonts w:hint="default" w:ascii="Times New Roman" w:hAnsi="Times New Roman" w:cs="Times New Roman"/>
                <w:sz w:val="21"/>
                <w:szCs w:val="21"/>
              </w:rPr>
              <w:t>2h(大鼠吸入)；320mg/m</w:t>
            </w:r>
            <w:r>
              <w:rPr>
                <w:rFonts w:hint="default" w:ascii="Times New Roman" w:hAnsi="Times New Roman" w:cs="Times New Roman"/>
                <w:sz w:val="21"/>
                <w:szCs w:val="21"/>
                <w:vertAlign w:val="superscript"/>
              </w:rPr>
              <w:t>3</w:t>
            </w:r>
            <w:r>
              <w:rPr>
                <w:rFonts w:hint="default" w:ascii="Times New Roman" w:hAnsi="Times New Roman" w:cs="Times New Roman"/>
                <w:sz w:val="21"/>
                <w:szCs w:val="21"/>
              </w:rPr>
              <w:t xml:space="preserve">  2h(小鼠吸入)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60"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健</w:t>
            </w:r>
          </w:p>
          <w:p>
            <w:pPr>
              <w:jc w:val="center"/>
              <w:rPr>
                <w:rFonts w:hint="default" w:ascii="Times New Roman" w:hAnsi="Times New Roman" w:cs="Times New Roman"/>
                <w:sz w:val="21"/>
                <w:szCs w:val="21"/>
              </w:rPr>
            </w:pPr>
            <w:r>
              <w:rPr>
                <w:rFonts w:hint="default" w:ascii="Times New Roman" w:hAnsi="Times New Roman" w:cs="Times New Roman"/>
                <w:sz w:val="21"/>
                <w:szCs w:val="21"/>
              </w:rPr>
              <w:t>康</w:t>
            </w:r>
          </w:p>
          <w:p>
            <w:pPr>
              <w:jc w:val="center"/>
              <w:rPr>
                <w:rFonts w:hint="default" w:ascii="Times New Roman" w:hAnsi="Times New Roman" w:cs="Times New Roman"/>
                <w:sz w:val="21"/>
                <w:szCs w:val="21"/>
              </w:rPr>
            </w:pPr>
            <w:r>
              <w:rPr>
                <w:rFonts w:hint="default" w:ascii="Times New Roman" w:hAnsi="Times New Roman" w:cs="Times New Roman"/>
                <w:sz w:val="21"/>
                <w:szCs w:val="21"/>
              </w:rPr>
              <w:t>危</w:t>
            </w:r>
          </w:p>
          <w:p>
            <w:pPr>
              <w:jc w:val="center"/>
              <w:rPr>
                <w:rFonts w:hint="default" w:ascii="Times New Roman" w:hAnsi="Times New Roman" w:cs="Times New Roman"/>
                <w:sz w:val="21"/>
                <w:szCs w:val="21"/>
              </w:rPr>
            </w:pPr>
            <w:r>
              <w:rPr>
                <w:rFonts w:hint="default" w:ascii="Times New Roman" w:hAnsi="Times New Roman" w:cs="Times New Roman"/>
                <w:sz w:val="21"/>
                <w:szCs w:val="21"/>
              </w:rPr>
              <w:t>害</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对皮肤、粘膜等组织有强烈的刺激和腐蚀作用。对眼睛可引起结膜炎、水肿、角膜混浊，以致失明；引起呼吸道刺激症状，重者发生呼吸困难和肺水肿；高浓度引起喉痉挛或声门水肿而死亡。口服后引起消化道烧伤以至溃疡形成。严重者可能有胃穿孔、腹膜炎、喉痉挛和声门水肿、肾损害、休克等。慢性影响有牙齿酸蚀症、慢性支气管炎、肺水肿和肝硬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9"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急</w:t>
            </w:r>
          </w:p>
          <w:p>
            <w:pPr>
              <w:jc w:val="center"/>
              <w:rPr>
                <w:rFonts w:hint="default" w:ascii="Times New Roman" w:hAnsi="Times New Roman" w:cs="Times New Roman"/>
                <w:sz w:val="21"/>
                <w:szCs w:val="21"/>
              </w:rPr>
            </w:pPr>
            <w:r>
              <w:rPr>
                <w:rFonts w:hint="default" w:ascii="Times New Roman" w:hAnsi="Times New Roman" w:cs="Times New Roman"/>
                <w:sz w:val="21"/>
                <w:szCs w:val="21"/>
              </w:rPr>
              <w:t>救</w:t>
            </w:r>
          </w:p>
          <w:p>
            <w:pPr>
              <w:jc w:val="center"/>
              <w:rPr>
                <w:rFonts w:hint="default" w:ascii="Times New Roman" w:hAnsi="Times New Roman" w:cs="Times New Roman"/>
                <w:sz w:val="21"/>
                <w:szCs w:val="21"/>
              </w:rPr>
            </w:pPr>
            <w:r>
              <w:rPr>
                <w:rFonts w:hint="default" w:ascii="Times New Roman" w:hAnsi="Times New Roman" w:cs="Times New Roman"/>
                <w:sz w:val="21"/>
                <w:szCs w:val="21"/>
              </w:rPr>
              <w:t>措</w:t>
            </w:r>
          </w:p>
          <w:p>
            <w:pPr>
              <w:jc w:val="center"/>
              <w:rPr>
                <w:rFonts w:hint="default" w:ascii="Times New Roman" w:hAnsi="Times New Roman" w:cs="Times New Roman"/>
                <w:sz w:val="21"/>
                <w:szCs w:val="21"/>
              </w:rPr>
            </w:pPr>
            <w:r>
              <w:rPr>
                <w:rFonts w:hint="default" w:ascii="Times New Roman" w:hAnsi="Times New Roman" w:cs="Times New Roman"/>
                <w:sz w:val="21"/>
                <w:szCs w:val="21"/>
              </w:rPr>
              <w:t>施</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皮肤接触：脱去污染的衣着，立即用水冲洗至少15min。或用2％碳酸氢钠溶液冲洗。就医</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眼睛接触：立即提起眼睑，用流动清水或生理盐水冲洗至少15min。就医</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吸入：迅速脱离现场至空气新鲜处。呼吸困难时给输氧。给予2～4％碳酸氢钠溶液雾化吸入。就医</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食入：误服者给牛奶、蛋清、植物油等口服，不可催吐。立即就医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03"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防</w:t>
            </w:r>
          </w:p>
          <w:p>
            <w:pPr>
              <w:jc w:val="center"/>
              <w:rPr>
                <w:rFonts w:hint="default" w:ascii="Times New Roman" w:hAnsi="Times New Roman" w:cs="Times New Roman"/>
                <w:sz w:val="21"/>
                <w:szCs w:val="21"/>
              </w:rPr>
            </w:pPr>
            <w:r>
              <w:rPr>
                <w:rFonts w:hint="default" w:ascii="Times New Roman" w:hAnsi="Times New Roman" w:cs="Times New Roman"/>
                <w:sz w:val="21"/>
                <w:szCs w:val="21"/>
              </w:rPr>
              <w:t>护</w:t>
            </w:r>
          </w:p>
          <w:p>
            <w:pPr>
              <w:jc w:val="center"/>
              <w:rPr>
                <w:rFonts w:hint="default" w:ascii="Times New Roman" w:hAnsi="Times New Roman" w:cs="Times New Roman"/>
                <w:sz w:val="21"/>
                <w:szCs w:val="21"/>
              </w:rPr>
            </w:pPr>
            <w:r>
              <w:rPr>
                <w:rFonts w:hint="default" w:ascii="Times New Roman" w:hAnsi="Times New Roman" w:cs="Times New Roman"/>
                <w:sz w:val="21"/>
                <w:szCs w:val="21"/>
              </w:rPr>
              <w:t>措</w:t>
            </w:r>
          </w:p>
          <w:p>
            <w:pPr>
              <w:jc w:val="center"/>
              <w:rPr>
                <w:rFonts w:hint="default" w:ascii="Times New Roman" w:hAnsi="Times New Roman" w:cs="Times New Roman"/>
                <w:sz w:val="21"/>
                <w:szCs w:val="21"/>
              </w:rPr>
            </w:pPr>
            <w:r>
              <w:rPr>
                <w:rFonts w:hint="default" w:ascii="Times New Roman" w:hAnsi="Times New Roman" w:cs="Times New Roman"/>
                <w:sz w:val="21"/>
                <w:szCs w:val="21"/>
              </w:rPr>
              <w:t>施</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呼吸系统防护：可能接触其蒸气或烟雾时，必须佩带防毒面具或供气式头盔。紧急事态抢救或逃生时，建议佩带自给式呼吸器</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眼睛防护：戴化学安全防护眼镜</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身体防护：穿工作服(防腐材料制作)</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手防护：戴橡皮手套</w:t>
            </w:r>
          </w:p>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其他防护：工作后，淋浴更衣。单独存放被毒物污染的衣服，洗后再用。保持良好的卫生习惯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泄</w:t>
            </w:r>
          </w:p>
          <w:p>
            <w:pPr>
              <w:jc w:val="center"/>
              <w:rPr>
                <w:rFonts w:hint="default" w:ascii="Times New Roman" w:hAnsi="Times New Roman" w:cs="Times New Roman"/>
                <w:sz w:val="21"/>
                <w:szCs w:val="21"/>
              </w:rPr>
            </w:pPr>
            <w:r>
              <w:rPr>
                <w:rFonts w:hint="default" w:ascii="Times New Roman" w:hAnsi="Times New Roman" w:cs="Times New Roman"/>
                <w:sz w:val="21"/>
                <w:szCs w:val="21"/>
              </w:rPr>
              <w:t>漏</w:t>
            </w:r>
          </w:p>
          <w:p>
            <w:pPr>
              <w:jc w:val="center"/>
              <w:rPr>
                <w:rFonts w:hint="default" w:ascii="Times New Roman" w:hAnsi="Times New Roman" w:cs="Times New Roman"/>
                <w:sz w:val="21"/>
                <w:szCs w:val="21"/>
              </w:rPr>
            </w:pPr>
            <w:r>
              <w:rPr>
                <w:rFonts w:hint="default" w:ascii="Times New Roman" w:hAnsi="Times New Roman" w:cs="Times New Roman"/>
                <w:sz w:val="21"/>
                <w:szCs w:val="21"/>
              </w:rPr>
              <w:t>处</w:t>
            </w:r>
          </w:p>
          <w:p>
            <w:pPr>
              <w:jc w:val="center"/>
              <w:rPr>
                <w:rFonts w:hint="default" w:ascii="Times New Roman" w:hAnsi="Times New Roman" w:cs="Times New Roman"/>
                <w:sz w:val="21"/>
                <w:szCs w:val="21"/>
              </w:rPr>
            </w:pPr>
            <w:r>
              <w:rPr>
                <w:rFonts w:hint="default" w:ascii="Times New Roman" w:hAnsi="Times New Roman" w:cs="Times New Roman"/>
                <w:sz w:val="21"/>
                <w:szCs w:val="21"/>
              </w:rPr>
              <w:t>理</w:t>
            </w:r>
          </w:p>
        </w:tc>
        <w:tc>
          <w:tcPr>
            <w:tcW w:w="8444" w:type="dxa"/>
            <w:noWrap w:val="0"/>
            <w:vAlign w:val="top"/>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疏散泄漏污染区人员至安全区，禁止无关人员进入污染区，建议应急处理人员戴好面罩，穿化学防护服。不要直接接触泄漏物，勿使泄漏物与可燃物质(木材、纸、油等)接触，在确保安全情况下堵漏。喷水雾减慢挥发(或扩散)，但不要对泄漏物或泄漏点直接喷水。用沙土、干燥石灰或苏打灰混合，然后收集运至废物处理场所处置。也可以用大量水冲洗，经稀释的洗水放入废水处理系统。如大量泄漏，利用围堤收容，然后收集、转移、回收，并运至废物处理场所处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68" w:hRule="atLeast"/>
          <w:jc w:val="center"/>
        </w:trPr>
        <w:tc>
          <w:tcPr>
            <w:tcW w:w="737" w:type="dxa"/>
            <w:noWrap w:val="0"/>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储</w:t>
            </w:r>
          </w:p>
          <w:p>
            <w:pPr>
              <w:jc w:val="center"/>
              <w:rPr>
                <w:rFonts w:hint="default" w:ascii="Times New Roman" w:hAnsi="Times New Roman" w:cs="Times New Roman"/>
                <w:sz w:val="21"/>
                <w:szCs w:val="21"/>
              </w:rPr>
            </w:pPr>
            <w:r>
              <w:rPr>
                <w:rFonts w:hint="default" w:ascii="Times New Roman" w:hAnsi="Times New Roman" w:cs="Times New Roman"/>
                <w:sz w:val="21"/>
                <w:szCs w:val="21"/>
              </w:rPr>
              <w:t>运</w:t>
            </w:r>
          </w:p>
          <w:p>
            <w:pPr>
              <w:jc w:val="center"/>
              <w:rPr>
                <w:rFonts w:hint="default" w:ascii="Times New Roman" w:hAnsi="Times New Roman" w:cs="Times New Roman"/>
                <w:sz w:val="21"/>
                <w:szCs w:val="21"/>
              </w:rPr>
            </w:pPr>
            <w:r>
              <w:rPr>
                <w:rFonts w:hint="default" w:ascii="Times New Roman" w:hAnsi="Times New Roman" w:cs="Times New Roman"/>
                <w:sz w:val="21"/>
                <w:szCs w:val="21"/>
              </w:rPr>
              <w:t>措</w:t>
            </w:r>
          </w:p>
          <w:p>
            <w:pPr>
              <w:jc w:val="center"/>
              <w:rPr>
                <w:rFonts w:hint="default" w:ascii="Times New Roman" w:hAnsi="Times New Roman" w:cs="Times New Roman"/>
                <w:sz w:val="21"/>
                <w:szCs w:val="21"/>
              </w:rPr>
            </w:pPr>
            <w:r>
              <w:rPr>
                <w:rFonts w:hint="default" w:ascii="Times New Roman" w:hAnsi="Times New Roman" w:cs="Times New Roman"/>
                <w:sz w:val="21"/>
                <w:szCs w:val="21"/>
              </w:rPr>
              <w:t>施</w:t>
            </w:r>
          </w:p>
        </w:tc>
        <w:tc>
          <w:tcPr>
            <w:tcW w:w="8444" w:type="dxa"/>
            <w:noWrap w:val="0"/>
            <w:vAlign w:val="center"/>
          </w:tcPr>
          <w:p>
            <w:pPr>
              <w:tabs>
                <w:tab w:val="left" w:pos="210"/>
              </w:tabs>
              <w:adjustRightInd w:val="0"/>
              <w:snapToGrid w:val="0"/>
              <w:spacing w:line="300" w:lineRule="atLeast"/>
              <w:ind w:right="-86" w:rightChars="-41"/>
              <w:rPr>
                <w:rFonts w:hint="default" w:ascii="Times New Roman" w:hAnsi="Times New Roman" w:cs="Times New Roman"/>
                <w:sz w:val="21"/>
                <w:szCs w:val="21"/>
              </w:rPr>
            </w:pPr>
            <w:r>
              <w:rPr>
                <w:rFonts w:hint="default" w:ascii="Times New Roman" w:hAnsi="Times New Roman" w:cs="Times New Roman"/>
                <w:sz w:val="21"/>
                <w:szCs w:val="21"/>
              </w:rPr>
              <w:t>储存于阴凉、干燥、通风处。应与易燃、可燃物，碱类、金属粉末等分开存放。不可混储混运。搬运时要轻装轻卸，防止包装及容器损坏。分装和搬运作业要注意个人防护。包装类别：Ⅱ类</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附件2.1.2 糠醛</w:t>
      </w:r>
    </w:p>
    <w:tbl>
      <w:tblPr>
        <w:tblStyle w:val="37"/>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19"/>
        <w:gridCol w:w="1342"/>
        <w:gridCol w:w="1811"/>
        <w:gridCol w:w="634"/>
        <w:gridCol w:w="335"/>
        <w:gridCol w:w="1224"/>
        <w:gridCol w:w="2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4606" w:type="dxa"/>
            <w:gridSpan w:val="4"/>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中文名称： 呋喃甲醛</w:t>
            </w:r>
          </w:p>
        </w:tc>
        <w:tc>
          <w:tcPr>
            <w:tcW w:w="4515" w:type="dxa"/>
            <w:gridSpan w:val="3"/>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英文名称：</w:t>
            </w:r>
            <w:r>
              <w:rPr>
                <w:rFonts w:hint="default" w:ascii="Times New Roman" w:hAnsi="Times New Roman" w:cs="Times New Roman"/>
                <w:sz w:val="21"/>
                <w:szCs w:val="21"/>
                <w:shd w:val="clear" w:color="auto" w:fill="FFFFFF"/>
              </w:rPr>
              <w:t>Furaldehyde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4606" w:type="dxa"/>
            <w:gridSpan w:val="4"/>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分子式：</w:t>
            </w:r>
            <w:r>
              <w:rPr>
                <w:rFonts w:hint="default" w:ascii="Times New Roman" w:hAnsi="Times New Roman" w:cs="Times New Roman"/>
                <w:bCs/>
                <w:sz w:val="21"/>
                <w:szCs w:val="21"/>
              </w:rPr>
              <w:t>C</w:t>
            </w:r>
            <w:r>
              <w:rPr>
                <w:rFonts w:hint="default" w:ascii="Times New Roman" w:hAnsi="Times New Roman" w:cs="Times New Roman"/>
                <w:bCs/>
                <w:sz w:val="21"/>
                <w:szCs w:val="21"/>
                <w:vertAlign w:val="subscript"/>
              </w:rPr>
              <w:t>5</w:t>
            </w:r>
            <w:r>
              <w:rPr>
                <w:rFonts w:hint="default" w:ascii="Times New Roman" w:hAnsi="Times New Roman" w:cs="Times New Roman"/>
                <w:bCs/>
                <w:sz w:val="21"/>
                <w:szCs w:val="21"/>
              </w:rPr>
              <w:t>H</w:t>
            </w:r>
            <w:r>
              <w:rPr>
                <w:rFonts w:hint="default" w:ascii="Times New Roman" w:hAnsi="Times New Roman" w:cs="Times New Roman"/>
                <w:bCs/>
                <w:sz w:val="21"/>
                <w:szCs w:val="21"/>
                <w:vertAlign w:val="subscript"/>
              </w:rPr>
              <w:t>4</w:t>
            </w:r>
            <w:r>
              <w:rPr>
                <w:rFonts w:hint="default" w:ascii="Times New Roman" w:hAnsi="Times New Roman" w:cs="Times New Roman"/>
                <w:bCs/>
                <w:sz w:val="21"/>
                <w:szCs w:val="21"/>
              </w:rPr>
              <w:t>O</w:t>
            </w:r>
            <w:r>
              <w:rPr>
                <w:rFonts w:hint="default" w:ascii="Times New Roman" w:hAnsi="Times New Roman" w:cs="Times New Roman"/>
                <w:bCs/>
                <w:sz w:val="21"/>
                <w:szCs w:val="21"/>
                <w:vertAlign w:val="subscript"/>
              </w:rPr>
              <w:t>2</w:t>
            </w:r>
            <w:r>
              <w:rPr>
                <w:rFonts w:hint="default" w:ascii="Times New Roman" w:hAnsi="Times New Roman" w:cs="Times New Roman"/>
                <w:bCs/>
                <w:sz w:val="21"/>
                <w:szCs w:val="21"/>
              </w:rPr>
              <w:t>,</w:t>
            </w:r>
          </w:p>
        </w:tc>
        <w:tc>
          <w:tcPr>
            <w:tcW w:w="4515" w:type="dxa"/>
            <w:gridSpan w:val="3"/>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分子量： </w:t>
            </w:r>
            <w:r>
              <w:rPr>
                <w:rFonts w:hint="default" w:ascii="Times New Roman" w:hAnsi="Times New Roman" w:cs="Times New Roman"/>
                <w:bCs/>
                <w:sz w:val="21"/>
                <w:szCs w:val="21"/>
              </w:rPr>
              <w:t>96.09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4606" w:type="dxa"/>
            <w:gridSpan w:val="4"/>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危险化学品序号：1235</w:t>
            </w:r>
          </w:p>
        </w:tc>
        <w:tc>
          <w:tcPr>
            <w:tcW w:w="4515" w:type="dxa"/>
            <w:gridSpan w:val="3"/>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CAS号：</w:t>
            </w:r>
            <w:r>
              <w:rPr>
                <w:rFonts w:hint="default" w:ascii="Times New Roman" w:hAnsi="Times New Roman" w:cs="Times New Roman"/>
                <w:sz w:val="21"/>
                <w:szCs w:val="21"/>
                <w:shd w:val="clear" w:color="auto" w:fill="FFFFFF"/>
              </w:rPr>
              <w:t>98-01-1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restart"/>
            <w:noWrap w:val="0"/>
            <w:vAlign w:val="center"/>
          </w:tcPr>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理</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化</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性</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质</w:t>
            </w:r>
          </w:p>
        </w:tc>
        <w:tc>
          <w:tcPr>
            <w:tcW w:w="8302" w:type="dxa"/>
            <w:gridSpan w:val="6"/>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外观与性状： </w:t>
            </w:r>
            <w:r>
              <w:rPr>
                <w:rFonts w:hint="default" w:ascii="Times New Roman" w:hAnsi="Times New Roman" w:cs="Times New Roman"/>
                <w:sz w:val="21"/>
                <w:szCs w:val="21"/>
                <w:shd w:val="clear" w:color="auto" w:fill="FFFFFF"/>
              </w:rPr>
              <w:t>无色至黄色油状液体，有杏仁样的气味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3153" w:type="dxa"/>
            <w:gridSpan w:val="2"/>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熔点（℃）：</w:t>
            </w:r>
            <w:r>
              <w:rPr>
                <w:rFonts w:hint="default" w:ascii="Times New Roman" w:hAnsi="Times New Roman" w:cs="Times New Roman"/>
                <w:sz w:val="21"/>
                <w:szCs w:val="21"/>
                <w:shd w:val="clear" w:color="auto" w:fill="FFFFFF"/>
              </w:rPr>
              <w:t>-36.5</w:t>
            </w:r>
          </w:p>
        </w:tc>
        <w:tc>
          <w:tcPr>
            <w:tcW w:w="2193" w:type="dxa"/>
            <w:gridSpan w:val="3"/>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沸点（℃）：</w:t>
            </w:r>
            <w:r>
              <w:rPr>
                <w:rFonts w:hint="default" w:ascii="Times New Roman" w:hAnsi="Times New Roman" w:cs="Times New Roman"/>
                <w:sz w:val="21"/>
                <w:szCs w:val="21"/>
                <w:shd w:val="clear" w:color="auto" w:fill="FFFFFF"/>
              </w:rPr>
              <w:t>161.8</w:t>
            </w:r>
          </w:p>
        </w:tc>
        <w:tc>
          <w:tcPr>
            <w:tcW w:w="2956" w:type="dxa"/>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引燃温度（℃）：</w:t>
            </w:r>
            <w:r>
              <w:rPr>
                <w:rFonts w:hint="default" w:ascii="Times New Roman" w:hAnsi="Times New Roman" w:cs="Times New Roman"/>
                <w:sz w:val="21"/>
                <w:szCs w:val="21"/>
                <w:shd w:val="clear" w:color="auto" w:fill="FFFFFF"/>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4122" w:type="dxa"/>
            <w:gridSpan w:val="4"/>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相对密度（空气=1）：</w:t>
            </w:r>
            <w:r>
              <w:rPr>
                <w:rFonts w:hint="default" w:ascii="Times New Roman" w:hAnsi="Times New Roman" w:cs="Times New Roman"/>
                <w:sz w:val="21"/>
                <w:szCs w:val="21"/>
                <w:shd w:val="clear" w:color="auto" w:fill="FFFFFF"/>
              </w:rPr>
              <w:t>3.31</w:t>
            </w:r>
          </w:p>
        </w:tc>
        <w:tc>
          <w:tcPr>
            <w:tcW w:w="4180" w:type="dxa"/>
            <w:gridSpan w:val="2"/>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相对密度（水=1）：</w:t>
            </w:r>
            <w:r>
              <w:rPr>
                <w:rFonts w:hint="default" w:ascii="Times New Roman" w:hAnsi="Times New Roman" w:cs="Times New Roman"/>
                <w:sz w:val="21"/>
                <w:szCs w:val="21"/>
                <w:shd w:val="clear" w:color="auto" w:fill="FFFFFF"/>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8302" w:type="dxa"/>
            <w:gridSpan w:val="6"/>
            <w:noWrap w:val="0"/>
            <w:vAlign w:val="center"/>
          </w:tcPr>
          <w:p>
            <w:pPr>
              <w:autoSpaceDE w:val="0"/>
              <w:autoSpaceDN w:val="0"/>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溶解性： </w:t>
            </w:r>
            <w:r>
              <w:rPr>
                <w:rFonts w:hint="default" w:ascii="Times New Roman" w:hAnsi="Times New Roman" w:cs="Times New Roman"/>
                <w:sz w:val="21"/>
                <w:szCs w:val="21"/>
                <w:shd w:val="clear" w:color="auto" w:fill="FFFFFF"/>
              </w:rPr>
              <w:t>微溶于冷水，溶于热水、乙醇、乙醚、苯。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3" w:hRule="atLeast"/>
          <w:jc w:val="center"/>
        </w:trPr>
        <w:tc>
          <w:tcPr>
            <w:tcW w:w="819" w:type="dxa"/>
            <w:vMerge w:val="restart"/>
            <w:noWrap w:val="0"/>
            <w:vAlign w:val="center"/>
          </w:tcPr>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毒害</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性及</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健康</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危害</w:t>
            </w:r>
          </w:p>
        </w:tc>
        <w:tc>
          <w:tcPr>
            <w:tcW w:w="1342" w:type="dxa"/>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毒性资料 </w:t>
            </w:r>
          </w:p>
        </w:tc>
        <w:tc>
          <w:tcPr>
            <w:tcW w:w="6960" w:type="dxa"/>
            <w:gridSpan w:val="5"/>
            <w:noWrap w:val="0"/>
            <w:vAlign w:val="center"/>
          </w:tcPr>
          <w:p>
            <w:pPr>
              <w:spacing w:line="360" w:lineRule="exact"/>
              <w:contextualSpacing/>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LD50：65mg/kg（大鼠经口）</w:t>
            </w:r>
          </w:p>
          <w:p>
            <w:pPr>
              <w:spacing w:line="360" w:lineRule="exact"/>
              <w:contextualSpacing/>
              <w:rPr>
                <w:rFonts w:hint="default" w:ascii="Times New Roman" w:hAnsi="Times New Roman" w:cs="Times New Roman"/>
                <w:sz w:val="21"/>
                <w:szCs w:val="21"/>
              </w:rPr>
            </w:pPr>
            <w:r>
              <w:rPr>
                <w:rFonts w:hint="default" w:ascii="Times New Roman" w:hAnsi="Times New Roman" w:eastAsia="宋体" w:cs="Times New Roman"/>
                <w:sz w:val="21"/>
                <w:szCs w:val="21"/>
              </w:rPr>
              <w:t>LC50：175ppm（大鼠吸入，6h）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1" w:hRule="atLeas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1342" w:type="dxa"/>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侵入途径 </w:t>
            </w:r>
          </w:p>
        </w:tc>
        <w:tc>
          <w:tcPr>
            <w:tcW w:w="6960" w:type="dxa"/>
            <w:gridSpan w:val="5"/>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呼吸、食入、皮肤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tcBorders>
              <w:bottom w:val="single" w:color="auto" w:sz="4" w:space="0"/>
            </w:tcBorders>
            <w:noWrap w:val="0"/>
            <w:vAlign w:val="center"/>
          </w:tcPr>
          <w:p>
            <w:pPr>
              <w:spacing w:line="360" w:lineRule="exact"/>
              <w:contextualSpacing/>
              <w:rPr>
                <w:rFonts w:hint="default" w:ascii="Times New Roman" w:hAnsi="Times New Roman" w:cs="Times New Roman"/>
                <w:sz w:val="21"/>
                <w:szCs w:val="21"/>
              </w:rPr>
            </w:pPr>
          </w:p>
        </w:tc>
        <w:tc>
          <w:tcPr>
            <w:tcW w:w="1342" w:type="dxa"/>
            <w:tcBorders>
              <w:bottom w:val="single" w:color="auto" w:sz="4" w:space="0"/>
            </w:tcBorders>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急救措施</w:t>
            </w:r>
          </w:p>
        </w:tc>
        <w:tc>
          <w:tcPr>
            <w:tcW w:w="6960" w:type="dxa"/>
            <w:gridSpan w:val="5"/>
            <w:tcBorders>
              <w:bottom w:val="single" w:color="auto" w:sz="4" w:space="0"/>
            </w:tcBorders>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皮肤接触： </w:t>
            </w:r>
            <w:r>
              <w:rPr>
                <w:rFonts w:hint="default" w:ascii="Times New Roman" w:hAnsi="Times New Roman" w:cs="Times New Roman"/>
                <w:sz w:val="21"/>
                <w:szCs w:val="21"/>
                <w:shd w:val="clear" w:color="auto" w:fill="FFFFFF"/>
              </w:rPr>
              <w:t>立即脱去污染的衣着，用肥皂水和清水彻底冲洗皮肤。就医。</w:t>
            </w:r>
          </w:p>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眼睛接触： </w:t>
            </w:r>
            <w:r>
              <w:rPr>
                <w:rFonts w:hint="default" w:ascii="Times New Roman" w:hAnsi="Times New Roman" w:cs="Times New Roman"/>
                <w:sz w:val="21"/>
                <w:szCs w:val="21"/>
                <w:shd w:val="clear" w:color="auto" w:fill="FFFFFF"/>
              </w:rPr>
              <w:t>立即提起眼睑，用大量流动清水或生理盐水彻底冲洗至少15分钟。就医。</w:t>
            </w:r>
          </w:p>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吸入：</w:t>
            </w:r>
            <w:r>
              <w:rPr>
                <w:rFonts w:hint="default" w:ascii="Times New Roman" w:hAnsi="Times New Roman" w:cs="Times New Roman"/>
                <w:sz w:val="21"/>
                <w:szCs w:val="21"/>
                <w:shd w:val="clear" w:color="auto" w:fill="FFFFFF"/>
              </w:rPr>
              <w:t>迅速脱离现场至空气新鲜处。保持呼吸道通畅。如呼吸困难，给输氧。如呼吸停止，立即进行人工呼吸。就医。</w:t>
            </w:r>
          </w:p>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 xml:space="preserve">食入： </w:t>
            </w:r>
            <w:r>
              <w:rPr>
                <w:rFonts w:hint="default" w:ascii="Times New Roman" w:hAnsi="Times New Roman" w:cs="Times New Roman"/>
                <w:sz w:val="21"/>
                <w:szCs w:val="21"/>
                <w:shd w:val="clear" w:color="auto" w:fill="FFFFFF"/>
              </w:rPr>
              <w:t>饮足量温水，催吐。就医。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restart"/>
            <w:tcBorders>
              <w:top w:val="single" w:color="auto" w:sz="4" w:space="0"/>
            </w:tcBorders>
            <w:noWrap w:val="0"/>
            <w:vAlign w:val="center"/>
          </w:tcPr>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燃烧</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爆炸</w:t>
            </w:r>
          </w:p>
          <w:p>
            <w:pPr>
              <w:spacing w:line="360" w:lineRule="exact"/>
              <w:contextualSpacing/>
              <w:jc w:val="center"/>
              <w:rPr>
                <w:rFonts w:hint="default" w:ascii="Times New Roman" w:hAnsi="Times New Roman" w:cs="Times New Roman"/>
                <w:sz w:val="21"/>
                <w:szCs w:val="21"/>
              </w:rPr>
            </w:pPr>
            <w:r>
              <w:rPr>
                <w:rFonts w:hint="default" w:ascii="Times New Roman" w:hAnsi="Times New Roman" w:cs="Times New Roman"/>
                <w:sz w:val="21"/>
                <w:szCs w:val="21"/>
              </w:rPr>
              <w:t>危险性</w:t>
            </w:r>
          </w:p>
        </w:tc>
        <w:tc>
          <w:tcPr>
            <w:tcW w:w="1342" w:type="dxa"/>
            <w:vMerge w:val="restart"/>
            <w:tcBorders>
              <w:top w:val="single" w:color="auto" w:sz="4" w:space="0"/>
            </w:tcBorders>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危险特性</w:t>
            </w:r>
          </w:p>
        </w:tc>
        <w:tc>
          <w:tcPr>
            <w:tcW w:w="1811" w:type="dxa"/>
            <w:tcBorders>
              <w:top w:val="single" w:color="auto" w:sz="4" w:space="0"/>
            </w:tcBorders>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火灾危险性： 丙类</w:t>
            </w:r>
          </w:p>
        </w:tc>
        <w:tc>
          <w:tcPr>
            <w:tcW w:w="2193" w:type="dxa"/>
            <w:gridSpan w:val="3"/>
            <w:tcBorders>
              <w:top w:val="single" w:color="auto" w:sz="4" w:space="0"/>
            </w:tcBorders>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闪点（℃）：60</w:t>
            </w:r>
          </w:p>
        </w:tc>
        <w:tc>
          <w:tcPr>
            <w:tcW w:w="2956" w:type="dxa"/>
            <w:tcBorders>
              <w:top w:val="single" w:color="auto" w:sz="4" w:space="0"/>
            </w:tcBorders>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rPr>
              <w:t>爆炸极限（%）：</w:t>
            </w:r>
            <w:r>
              <w:rPr>
                <w:rFonts w:hint="default" w:ascii="Times New Roman" w:hAnsi="Times New Roman" w:cs="Times New Roman"/>
                <w:bCs/>
                <w:sz w:val="21"/>
                <w:szCs w:val="21"/>
              </w:rPr>
              <w:t>2.1-19.3%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jc w:val="center"/>
              <w:rPr>
                <w:rFonts w:hint="default" w:ascii="Times New Roman" w:hAnsi="Times New Roman" w:cs="Times New Roman"/>
                <w:sz w:val="21"/>
                <w:szCs w:val="21"/>
              </w:rPr>
            </w:pPr>
          </w:p>
        </w:tc>
        <w:tc>
          <w:tcPr>
            <w:tcW w:w="1342" w:type="dxa"/>
            <w:vMerge w:val="continue"/>
            <w:noWrap w:val="0"/>
            <w:vAlign w:val="center"/>
          </w:tcPr>
          <w:p>
            <w:pPr>
              <w:spacing w:line="360" w:lineRule="exact"/>
              <w:contextualSpacing/>
              <w:rPr>
                <w:rFonts w:hint="default" w:ascii="Times New Roman" w:hAnsi="Times New Roman" w:cs="Times New Roman"/>
                <w:sz w:val="21"/>
                <w:szCs w:val="21"/>
              </w:rPr>
            </w:pPr>
          </w:p>
        </w:tc>
        <w:tc>
          <w:tcPr>
            <w:tcW w:w="6960" w:type="dxa"/>
            <w:gridSpan w:val="5"/>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shd w:val="clear" w:color="auto" w:fill="FFFFFF"/>
              </w:rPr>
              <w:t>健康危害：蒸气有强烈的刺激性，并有麻醉作用。动物吸入、经口或经皮肤吸收均可引起</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"https://baike.baidu.com/item/%E6%80%A5%E6%80%A7%E4%B8%AD%E6%AF%92/9906866"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急性中毒</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，表现有呼吸道刺激、</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"https://baike.baidu.com/item/%E8%82%BA%E6%B0%B4%E8%82%BF/813707"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肺水肿</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、肝损害、中枢神经系统损害、</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"https://baike.baidu.com/item/%E5%91%BC%E5%90%B8%E4%B8%AD%E6%9E%A2/4304790"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呼吸中枢</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麻痹，以致死亡。高浓度该品接触兔眼时可引起角膜、结膜和眼睑损害，但能迅速痊愈。工人接触7.4 ～52.7mg/m</w:t>
            </w:r>
            <w:r>
              <w:rPr>
                <w:rFonts w:hint="default" w:ascii="Times New Roman" w:hAnsi="Times New Roman" w:cs="Times New Roman"/>
                <w:sz w:val="21"/>
                <w:szCs w:val="21"/>
                <w:shd w:val="clear" w:color="auto" w:fill="FFFFFF"/>
                <w:vertAlign w:val="superscript"/>
              </w:rPr>
              <w:t>3</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"https://baike.baidu.com/item/%E7%B3%A0%E9%86%9B/2099899"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糠醛</w:t>
            </w:r>
            <w:r>
              <w:rPr>
                <w:rFonts w:hint="default" w:ascii="Times New Roman" w:hAnsi="Times New Roman" w:cs="Times New Roman"/>
                <w:sz w:val="21"/>
                <w:szCs w:val="21"/>
              </w:rPr>
              <w:fldChar w:fldCharType="end"/>
            </w:r>
            <w:r>
              <w:rPr>
                <w:rStyle w:val="65"/>
                <w:rFonts w:hint="default" w:ascii="Times New Roman" w:hAnsi="Times New Roman" w:cs="Times New Roman"/>
                <w:sz w:val="21"/>
                <w:szCs w:val="21"/>
                <w:shd w:val="clear" w:color="auto" w:fill="FFFFFF"/>
              </w:rPr>
              <w:t> </w:t>
            </w:r>
            <w:r>
              <w:rPr>
                <w:rFonts w:hint="default" w:ascii="Times New Roman" w:hAnsi="Times New Roman" w:cs="Times New Roman"/>
                <w:sz w:val="21"/>
                <w:szCs w:val="21"/>
                <w:shd w:val="clear" w:color="auto" w:fill="FFFFFF"/>
              </w:rPr>
              <w:t>3个月，出现粘膜刺激症状、头痛、舌麻木、呼吸困难。长期接触还可出现手、足</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"https://baike.baidu.com/item/%E7%9A%AE%E8%82%A4%E8%89%B2%E7%B4%A0%E6%B2%89%E7%9D%80/9159734"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皮肤色素沉着</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"https://baike.baidu.com/item/%E7%9A%AE%E7%82%8E/909051"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皮炎</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、湿疹及</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"https://baike.baidu.com/item/%E6%85%A2%E6%80%A7%E9%BC%BB%E7%82%8E/538042"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慢性鼻炎</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1342" w:type="dxa"/>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禁忌物</w:t>
            </w:r>
          </w:p>
        </w:tc>
        <w:tc>
          <w:tcPr>
            <w:tcW w:w="6960" w:type="dxa"/>
            <w:gridSpan w:val="5"/>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shd w:val="clear" w:color="auto" w:fill="FFFFFF"/>
              </w:rPr>
              <w:t>强氧化剂、强碱。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1342" w:type="dxa"/>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燃爆危险</w:t>
            </w:r>
          </w:p>
        </w:tc>
        <w:tc>
          <w:tcPr>
            <w:tcW w:w="6960" w:type="dxa"/>
            <w:gridSpan w:val="5"/>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shd w:val="clear" w:color="auto" w:fill="FFFFFF"/>
              </w:rPr>
              <w:t>该品易燃，具强刺激性。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1342" w:type="dxa"/>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有害燃烧产物</w:t>
            </w:r>
          </w:p>
        </w:tc>
        <w:tc>
          <w:tcPr>
            <w:tcW w:w="6960" w:type="dxa"/>
            <w:gridSpan w:val="5"/>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shd w:val="clear" w:color="auto" w:fill="FFFFFF"/>
              </w:rPr>
              <w:t>一氧化碳、二氧化碳。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67" w:hRule="atLeast"/>
          <w:jc w:val="center"/>
        </w:trPr>
        <w:tc>
          <w:tcPr>
            <w:tcW w:w="819" w:type="dxa"/>
            <w:vMerge w:val="continue"/>
            <w:noWrap w:val="0"/>
            <w:vAlign w:val="center"/>
          </w:tcPr>
          <w:p>
            <w:pPr>
              <w:spacing w:line="360" w:lineRule="exact"/>
              <w:contextualSpacing/>
              <w:rPr>
                <w:rFonts w:hint="default" w:ascii="Times New Roman" w:hAnsi="Times New Roman" w:cs="Times New Roman"/>
                <w:sz w:val="21"/>
                <w:szCs w:val="21"/>
              </w:rPr>
            </w:pPr>
          </w:p>
        </w:tc>
        <w:tc>
          <w:tcPr>
            <w:tcW w:w="1342" w:type="dxa"/>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灭火方法</w:t>
            </w:r>
          </w:p>
        </w:tc>
        <w:tc>
          <w:tcPr>
            <w:tcW w:w="6960" w:type="dxa"/>
            <w:gridSpan w:val="5"/>
            <w:noWrap w:val="0"/>
            <w:vAlign w:val="center"/>
          </w:tcPr>
          <w:p>
            <w:pPr>
              <w:spacing w:line="360" w:lineRule="exact"/>
              <w:contextualSpacing/>
              <w:rPr>
                <w:rFonts w:hint="default" w:ascii="Times New Roman" w:hAnsi="Times New Roman" w:cs="Times New Roman"/>
                <w:sz w:val="21"/>
                <w:szCs w:val="21"/>
              </w:rPr>
            </w:pPr>
            <w:r>
              <w:rPr>
                <w:rFonts w:hint="default" w:ascii="Times New Roman" w:hAnsi="Times New Roman" w:cs="Times New Roman"/>
                <w:sz w:val="21"/>
                <w:szCs w:val="21"/>
                <w:shd w:val="clear" w:color="auto" w:fill="FFFFFF"/>
              </w:rPr>
              <w:t>采用</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"https://baike.baidu.com/item/%E9%9B%BE%E7%8A%B6%E6%B0%B4/11063090"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雾状水</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、泡沫、干粉、二氧化碳、砂土灭火。用水灭火无效，但可用水保持火场中容器冷却。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noWrap w:val="0"/>
            <w:vAlign w:val="center"/>
          </w:tcPr>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泄漏</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应急</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处理</w:t>
            </w:r>
          </w:p>
        </w:tc>
        <w:tc>
          <w:tcPr>
            <w:tcW w:w="8302" w:type="dxa"/>
            <w:gridSpan w:val="6"/>
            <w:noWrap w:val="0"/>
            <w:vAlign w:val="center"/>
          </w:tcPr>
          <w:p>
            <w:pPr>
              <w:spacing w:line="360" w:lineRule="exact"/>
              <w:contextualSpacing/>
              <w:rPr>
                <w:rFonts w:hint="default" w:ascii="Times New Roman" w:hAnsi="Times New Roman" w:eastAsia="宋体" w:cs="Times New Roman"/>
                <w:sz w:val="21"/>
                <w:szCs w:val="21"/>
                <w:shd w:val="clear" w:color="auto" w:fill="FFFFFF"/>
              </w:rPr>
            </w:pPr>
            <w:r>
              <w:rPr>
                <w:rFonts w:hint="default" w:ascii="Times New Roman" w:hAnsi="Times New Roman" w:eastAsia="宋体" w:cs="Times New Roman"/>
                <w:sz w:val="21"/>
                <w:szCs w:val="21"/>
                <w:shd w:val="clear" w:color="auto" w:fill="FFFFFF"/>
              </w:rPr>
              <w:t>迅速撤离泄漏污染区人员至安全区，并进行隔离，严格限制出入。切断火源。建议应急处理人员戴自给</w:t>
            </w:r>
            <w:r>
              <w:rPr>
                <w:rFonts w:hint="default" w:ascii="Times New Roman" w:hAnsi="Times New Roman" w:eastAsia="宋体" w:cs="Times New Roman"/>
                <w:sz w:val="21"/>
                <w:szCs w:val="21"/>
                <w:shd w:val="clear" w:color="auto" w:fill="FFFFFF"/>
              </w:rPr>
              <w:fldChar w:fldCharType="begin"/>
            </w:r>
            <w:r>
              <w:rPr>
                <w:rFonts w:hint="default" w:ascii="Times New Roman" w:hAnsi="Times New Roman" w:eastAsia="宋体" w:cs="Times New Roman"/>
                <w:sz w:val="21"/>
                <w:szCs w:val="21"/>
                <w:shd w:val="clear" w:color="auto" w:fill="FFFFFF"/>
              </w:rPr>
              <w:instrText xml:space="preserve"> HYPERLINK "https://baike.baidu.com/item/%E6%AD%A3%E5%8E%8B%E5%BC%8F%E5%91%BC%E5%90%B8%E5%99%A8/5298511" \t "_blank" </w:instrText>
            </w:r>
            <w:r>
              <w:rPr>
                <w:rFonts w:hint="default" w:ascii="Times New Roman" w:hAnsi="Times New Roman" w:eastAsia="宋体" w:cs="Times New Roman"/>
                <w:sz w:val="21"/>
                <w:szCs w:val="21"/>
                <w:shd w:val="clear" w:color="auto" w:fill="FFFFFF"/>
              </w:rPr>
              <w:fldChar w:fldCharType="separate"/>
            </w:r>
            <w:r>
              <w:rPr>
                <w:rFonts w:hint="default" w:ascii="Times New Roman" w:hAnsi="Times New Roman" w:eastAsia="宋体" w:cs="Times New Roman"/>
                <w:sz w:val="21"/>
                <w:szCs w:val="21"/>
                <w:shd w:val="clear" w:color="auto" w:fill="FFFFFF"/>
              </w:rPr>
              <w:t>正压式呼吸器</w:t>
            </w:r>
            <w:r>
              <w:rPr>
                <w:rFonts w:hint="default" w:ascii="Times New Roman" w:hAnsi="Times New Roman" w:eastAsia="宋体" w:cs="Times New Roman"/>
                <w:sz w:val="21"/>
                <w:szCs w:val="21"/>
                <w:shd w:val="clear" w:color="auto" w:fill="FFFFFF"/>
              </w:rPr>
              <w:fldChar w:fldCharType="end"/>
            </w:r>
            <w:r>
              <w:rPr>
                <w:rFonts w:hint="default" w:ascii="Times New Roman" w:hAnsi="Times New Roman" w:eastAsia="宋体" w:cs="Times New Roman"/>
                <w:sz w:val="21"/>
                <w:szCs w:val="21"/>
                <w:shd w:val="clear" w:color="auto" w:fill="FFFFFF"/>
              </w:rPr>
              <w:t>，穿</w:t>
            </w:r>
            <w:r>
              <w:rPr>
                <w:rFonts w:hint="default" w:ascii="Times New Roman" w:hAnsi="Times New Roman" w:eastAsia="宋体" w:cs="Times New Roman"/>
                <w:sz w:val="21"/>
                <w:szCs w:val="21"/>
                <w:shd w:val="clear" w:color="auto" w:fill="FFFFFF"/>
              </w:rPr>
              <w:fldChar w:fldCharType="begin"/>
            </w:r>
            <w:r>
              <w:rPr>
                <w:rFonts w:hint="default" w:ascii="Times New Roman" w:hAnsi="Times New Roman" w:eastAsia="宋体" w:cs="Times New Roman"/>
                <w:sz w:val="21"/>
                <w:szCs w:val="21"/>
                <w:shd w:val="clear" w:color="auto" w:fill="FFFFFF"/>
              </w:rPr>
              <w:instrText xml:space="preserve"> HYPERLINK "https://baike.baidu.com/item/%E9%98%B2%E9%9D%99%E7%94%B5%E5%B7%A5%E4%BD%9C%E6%9C%8D/8336382" \t "_blank" </w:instrText>
            </w:r>
            <w:r>
              <w:rPr>
                <w:rFonts w:hint="default" w:ascii="Times New Roman" w:hAnsi="Times New Roman" w:eastAsia="宋体" w:cs="Times New Roman"/>
                <w:sz w:val="21"/>
                <w:szCs w:val="21"/>
                <w:shd w:val="clear" w:color="auto" w:fill="FFFFFF"/>
              </w:rPr>
              <w:fldChar w:fldCharType="separate"/>
            </w:r>
            <w:r>
              <w:rPr>
                <w:rFonts w:hint="default" w:ascii="Times New Roman" w:hAnsi="Times New Roman" w:eastAsia="宋体" w:cs="Times New Roman"/>
                <w:sz w:val="21"/>
                <w:szCs w:val="21"/>
                <w:shd w:val="clear" w:color="auto" w:fill="FFFFFF"/>
              </w:rPr>
              <w:t>防静电工作服</w:t>
            </w:r>
            <w:r>
              <w:rPr>
                <w:rFonts w:hint="default" w:ascii="Times New Roman" w:hAnsi="Times New Roman" w:eastAsia="宋体" w:cs="Times New Roman"/>
                <w:sz w:val="21"/>
                <w:szCs w:val="21"/>
                <w:shd w:val="clear" w:color="auto" w:fill="FFFFFF"/>
              </w:rPr>
              <w:fldChar w:fldCharType="end"/>
            </w:r>
            <w:r>
              <w:rPr>
                <w:rFonts w:hint="default" w:ascii="Times New Roman" w:hAnsi="Times New Roman" w:eastAsia="宋体" w:cs="Times New Roman"/>
                <w:sz w:val="21"/>
                <w:szCs w:val="21"/>
                <w:shd w:val="clear" w:color="auto" w:fill="FFFFFF"/>
              </w:rPr>
              <w:t>。尽可能切断泄漏源。防止流入下水道、排洪沟等限制性空间。</w:t>
            </w:r>
          </w:p>
          <w:p>
            <w:pPr>
              <w:spacing w:line="360" w:lineRule="exact"/>
              <w:contextualSpacing/>
              <w:rPr>
                <w:rFonts w:hint="default" w:ascii="Times New Roman" w:hAnsi="Times New Roman" w:eastAsia="宋体" w:cs="Times New Roman"/>
                <w:sz w:val="21"/>
                <w:szCs w:val="21"/>
                <w:shd w:val="clear" w:color="auto" w:fill="FFFFFF"/>
              </w:rPr>
            </w:pPr>
            <w:r>
              <w:rPr>
                <w:rFonts w:hint="default" w:ascii="Times New Roman" w:hAnsi="Times New Roman" w:eastAsia="宋体" w:cs="Times New Roman"/>
                <w:sz w:val="21"/>
                <w:szCs w:val="21"/>
                <w:shd w:val="clear" w:color="auto" w:fill="FFFFFF"/>
              </w:rPr>
              <w:t>小量泄漏：用砂土、干燥石灰或苏打灰混合。也可以用大量水冲洗，洗水稀释后放入废水系统。</w:t>
            </w:r>
          </w:p>
          <w:p>
            <w:pPr>
              <w:spacing w:line="360" w:lineRule="exact"/>
              <w:contextualSpacing/>
              <w:rPr>
                <w:rFonts w:hint="default" w:ascii="Times New Roman" w:hAnsi="Times New Roman" w:cs="Times New Roman"/>
                <w:bCs/>
                <w:sz w:val="21"/>
                <w:szCs w:val="21"/>
              </w:rPr>
            </w:pPr>
            <w:r>
              <w:rPr>
                <w:rFonts w:hint="default" w:ascii="Times New Roman" w:hAnsi="Times New Roman" w:eastAsia="宋体" w:cs="Times New Roman"/>
                <w:sz w:val="21"/>
                <w:szCs w:val="21"/>
                <w:shd w:val="clear" w:color="auto" w:fill="FFFFFF"/>
              </w:rPr>
              <w:t>大量泄漏：构筑围堤或挖坑收容。喷雾状水冷却和稀释蒸汽、保护现场人员、把泄漏物稀释成不燃物。用防爆泵转移至</w:t>
            </w:r>
            <w:r>
              <w:rPr>
                <w:rFonts w:hint="default" w:ascii="Times New Roman" w:hAnsi="Times New Roman" w:eastAsia="宋体" w:cs="Times New Roman"/>
                <w:sz w:val="21"/>
                <w:szCs w:val="21"/>
                <w:shd w:val="clear" w:color="auto" w:fill="FFFFFF"/>
              </w:rPr>
              <w:fldChar w:fldCharType="begin"/>
            </w:r>
            <w:r>
              <w:rPr>
                <w:rFonts w:hint="default" w:ascii="Times New Roman" w:hAnsi="Times New Roman" w:eastAsia="宋体" w:cs="Times New Roman"/>
                <w:sz w:val="21"/>
                <w:szCs w:val="21"/>
                <w:shd w:val="clear" w:color="auto" w:fill="FFFFFF"/>
              </w:rPr>
              <w:instrText xml:space="preserve"> HYPERLINK "https://baike.baidu.com/item/%E6%A7%BD%E8%BD%A6/7068691" \t "_blank" </w:instrText>
            </w:r>
            <w:r>
              <w:rPr>
                <w:rFonts w:hint="default" w:ascii="Times New Roman" w:hAnsi="Times New Roman" w:eastAsia="宋体" w:cs="Times New Roman"/>
                <w:sz w:val="21"/>
                <w:szCs w:val="21"/>
                <w:shd w:val="clear" w:color="auto" w:fill="FFFFFF"/>
              </w:rPr>
              <w:fldChar w:fldCharType="separate"/>
            </w:r>
            <w:r>
              <w:rPr>
                <w:rFonts w:hint="default" w:ascii="Times New Roman" w:hAnsi="Times New Roman" w:eastAsia="宋体" w:cs="Times New Roman"/>
                <w:sz w:val="21"/>
                <w:szCs w:val="21"/>
                <w:shd w:val="clear" w:color="auto" w:fill="FFFFFF"/>
              </w:rPr>
              <w:t>槽车</w:t>
            </w:r>
            <w:r>
              <w:rPr>
                <w:rFonts w:hint="default" w:ascii="Times New Roman" w:hAnsi="Times New Roman" w:eastAsia="宋体" w:cs="Times New Roman"/>
                <w:sz w:val="21"/>
                <w:szCs w:val="21"/>
                <w:shd w:val="clear" w:color="auto" w:fill="FFFFFF"/>
              </w:rPr>
              <w:fldChar w:fldCharType="end"/>
            </w:r>
            <w:r>
              <w:rPr>
                <w:rFonts w:hint="default" w:ascii="Times New Roman" w:hAnsi="Times New Roman" w:eastAsia="宋体" w:cs="Times New Roman"/>
                <w:sz w:val="21"/>
                <w:szCs w:val="21"/>
                <w:shd w:val="clear" w:color="auto" w:fill="FFFFFF"/>
              </w:rPr>
              <w:t>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restart"/>
            <w:noWrap w:val="0"/>
            <w:vAlign w:val="center"/>
          </w:tcPr>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防</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护</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措</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施</w:t>
            </w: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sz w:val="21"/>
                <w:szCs w:val="21"/>
              </w:rPr>
              <w:t>呼吸系统防护</w:t>
            </w:r>
            <w:r>
              <w:rPr>
                <w:rFonts w:hint="default" w:ascii="Times New Roman" w:hAnsi="Times New Roman" w:cs="Times New Roman"/>
                <w:bCs/>
                <w:sz w:val="21"/>
                <w:szCs w:val="21"/>
              </w:rPr>
              <w:t>：可能接触蒸汽时，应佩戴防毒面具。紧急事态抢救或逃生时，佩戴自给式呼吸器。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bCs/>
                <w:sz w:val="21"/>
                <w:szCs w:val="21"/>
              </w:rPr>
            </w:pP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sz w:val="21"/>
                <w:szCs w:val="21"/>
              </w:rPr>
              <w:t>眼睛防护</w:t>
            </w:r>
            <w:r>
              <w:rPr>
                <w:rFonts w:hint="default" w:ascii="Times New Roman" w:hAnsi="Times New Roman" w:cs="Times New Roman"/>
                <w:bCs/>
                <w:sz w:val="21"/>
                <w:szCs w:val="21"/>
              </w:rPr>
              <w:t>：戴化学安全防护眼镜。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bCs/>
                <w:sz w:val="21"/>
                <w:szCs w:val="21"/>
              </w:rPr>
            </w:pP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手部</w:t>
            </w:r>
            <w:r>
              <w:rPr>
                <w:rFonts w:hint="default" w:ascii="Times New Roman" w:hAnsi="Times New Roman" w:cs="Times New Roman"/>
                <w:sz w:val="21"/>
                <w:szCs w:val="21"/>
              </w:rPr>
              <w:t>防护</w:t>
            </w:r>
            <w:r>
              <w:rPr>
                <w:rFonts w:hint="default" w:ascii="Times New Roman" w:hAnsi="Times New Roman" w:cs="Times New Roman"/>
                <w:bCs/>
                <w:sz w:val="21"/>
                <w:szCs w:val="21"/>
              </w:rPr>
              <w:t>：戴防化学品手套。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bCs/>
                <w:sz w:val="21"/>
                <w:szCs w:val="21"/>
              </w:rPr>
            </w:pP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身体防护：穿相应的防护服。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vMerge w:val="continue"/>
            <w:noWrap w:val="0"/>
            <w:vAlign w:val="center"/>
          </w:tcPr>
          <w:p>
            <w:pPr>
              <w:spacing w:line="360" w:lineRule="exact"/>
              <w:contextualSpacing/>
              <w:rPr>
                <w:rFonts w:hint="default" w:ascii="Times New Roman" w:hAnsi="Times New Roman" w:cs="Times New Roman"/>
                <w:bCs/>
                <w:sz w:val="21"/>
                <w:szCs w:val="21"/>
              </w:rPr>
            </w:pP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其它: 工作后，淋浴更衣。工作现场严禁吸烟、进食和饮水。保持良好的卫生习惯。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32" w:hRule="atLeast"/>
          <w:jc w:val="center"/>
        </w:trPr>
        <w:tc>
          <w:tcPr>
            <w:tcW w:w="819" w:type="dxa"/>
            <w:noWrap w:val="0"/>
            <w:vAlign w:val="center"/>
          </w:tcPr>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工程</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控制</w:t>
            </w: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bCs/>
                <w:sz w:val="21"/>
                <w:szCs w:val="21"/>
              </w:rPr>
              <w:t>严加密闭，提供充分的局部通风。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noWrap w:val="0"/>
            <w:vAlign w:val="center"/>
          </w:tcPr>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操作</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注意</w:t>
            </w:r>
          </w:p>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事项</w:t>
            </w: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sz w:val="21"/>
                <w:szCs w:val="21"/>
                <w:shd w:val="clear" w:color="auto" w:fill="FFFFFF"/>
              </w:rPr>
              <w:t>密闭操作，提供充分的局部排风。操作人员必须经过专门培训，严格遵守操作规程。建议操作人员佩戴</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"https://baike.baidu.com/item/%E8%BF%87%E6%BB%A4%E5%BC%8F%E9%98%B2%E6%AF%92%E9%9D%A2%E5%85%B7/993891"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过滤式防毒面具</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"https://baike.baidu.com/item/%E5%8D%8A%E9%9D%A2%E7%BD%A9/13323034"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半面罩</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），戴化学</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"https://baike.baidu.com/item/%E5%AE%89%E5%85%A8%E9%98%B2%E6%8A%A4%E7%9C%BC%E9%95%9C/3400301"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安全防护眼镜</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，穿</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"https://baike.baidu.com/item/%E9%98%B2%E9%9D%99%E7%94%B5%E5%B7%A5%E4%BD%9C%E6%9C%8D/8336382"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防静电工作服</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，戴</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"https://baike.baidu.com/item/%E6%A9%A1%E8%83%B6%E8%80%90%E6%B2%B9%E6%89%8B%E5%A5%97/3203679" \t "_blank" </w:instrText>
            </w:r>
            <w:r>
              <w:rPr>
                <w:rFonts w:hint="default" w:ascii="Times New Roman" w:hAnsi="Times New Roman" w:cs="Times New Roman"/>
                <w:sz w:val="21"/>
                <w:szCs w:val="21"/>
              </w:rPr>
              <w:fldChar w:fldCharType="separate"/>
            </w:r>
            <w:r>
              <w:rPr>
                <w:rStyle w:val="43"/>
                <w:rFonts w:hint="default" w:ascii="Times New Roman" w:hAnsi="Times New Roman" w:cs="Times New Roman"/>
                <w:color w:val="auto"/>
                <w:sz w:val="21"/>
                <w:szCs w:val="21"/>
                <w:shd w:val="clear" w:color="auto" w:fill="FFFFFF"/>
              </w:rPr>
              <w:t>橡胶耐油手套</w:t>
            </w:r>
            <w:r>
              <w:rPr>
                <w:rFonts w:hint="default" w:ascii="Times New Roman" w:hAnsi="Times New Roman" w:cs="Times New Roman"/>
                <w:sz w:val="21"/>
                <w:szCs w:val="21"/>
              </w:rPr>
              <w:fldChar w:fldCharType="end"/>
            </w:r>
            <w:r>
              <w:rPr>
                <w:rFonts w:hint="default" w:ascii="Times New Roman" w:hAnsi="Times New Roman" w:cs="Times New Roman"/>
                <w:sz w:val="21"/>
                <w:szCs w:val="21"/>
                <w:shd w:val="clear" w:color="auto" w:fill="FFFFFF"/>
              </w:rPr>
              <w:t>。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19" w:type="dxa"/>
            <w:noWrap w:val="0"/>
            <w:vAlign w:val="center"/>
          </w:tcPr>
          <w:p>
            <w:pPr>
              <w:spacing w:line="360" w:lineRule="exact"/>
              <w:contextualSpacing/>
              <w:jc w:val="center"/>
              <w:rPr>
                <w:rFonts w:hint="default" w:ascii="Times New Roman" w:hAnsi="Times New Roman" w:cs="Times New Roman"/>
                <w:bCs/>
                <w:sz w:val="21"/>
                <w:szCs w:val="21"/>
              </w:rPr>
            </w:pPr>
            <w:r>
              <w:rPr>
                <w:rFonts w:hint="default" w:ascii="Times New Roman" w:hAnsi="Times New Roman" w:cs="Times New Roman"/>
                <w:bCs/>
                <w:sz w:val="21"/>
                <w:szCs w:val="21"/>
              </w:rPr>
              <w:t>储存</w:t>
            </w:r>
          </w:p>
        </w:tc>
        <w:tc>
          <w:tcPr>
            <w:tcW w:w="8302" w:type="dxa"/>
            <w:gridSpan w:val="6"/>
            <w:noWrap w:val="0"/>
            <w:vAlign w:val="center"/>
          </w:tcPr>
          <w:p>
            <w:pPr>
              <w:spacing w:line="360" w:lineRule="exact"/>
              <w:contextualSpacing/>
              <w:rPr>
                <w:rFonts w:hint="default" w:ascii="Times New Roman" w:hAnsi="Times New Roman" w:cs="Times New Roman"/>
                <w:bCs/>
                <w:sz w:val="21"/>
                <w:szCs w:val="21"/>
              </w:rPr>
            </w:pPr>
            <w:r>
              <w:rPr>
                <w:rFonts w:hint="default" w:ascii="Times New Roman" w:hAnsi="Times New Roman" w:cs="Times New Roman"/>
                <w:sz w:val="21"/>
                <w:szCs w:val="21"/>
                <w:shd w:val="clear" w:color="auto" w:fill="FFFFFF"/>
              </w:rPr>
              <w:t>储存于阴凉、通风的库房。库温不宜超过37℃。远离火种、热源。避光保存、包装要求密封，不可与空气接触。应与氧化剂、碱类、食用化学品分开存放，切忌混储。不宜大量储存或久存。采用防爆型照明、通风设施。禁止使用易产生火花的机械设备和工具。储区应备有泄漏应急处理设备和合适的收容材料。</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附件2.1.3 柴油</w:t>
      </w:r>
    </w:p>
    <w:tbl>
      <w:tblPr>
        <w:tblStyle w:val="37"/>
        <w:tblW w:w="91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32"/>
        <w:gridCol w:w="1139"/>
        <w:gridCol w:w="1570"/>
        <w:gridCol w:w="2584"/>
        <w:gridCol w:w="3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8" w:hRule="atLeast"/>
          <w:jc w:val="center"/>
        </w:trPr>
        <w:tc>
          <w:tcPr>
            <w:tcW w:w="9153" w:type="dxa"/>
            <w:gridSpan w:val="5"/>
            <w:noWrap w:val="0"/>
            <w:vAlign w:val="center"/>
          </w:tcPr>
          <w:p>
            <w:pPr>
              <w:keepNext w:val="0"/>
              <w:keepLines w:val="0"/>
              <w:pageBreakBefore w:val="0"/>
              <w:widowControl w:val="0"/>
              <w:kinsoku/>
              <w:wordWrap/>
              <w:overflowPunct/>
              <w:topLinePunct w:val="0"/>
              <w:autoSpaceDE w:val="0"/>
              <w:autoSpaceDN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中文名称： 柴油</w:t>
            </w:r>
            <w:r>
              <w:rPr>
                <w:rFonts w:hint="default" w:ascii="Times New Roman" w:hAnsi="Times New Roman" w:cs="Times New Roman"/>
                <w:bCs/>
                <w:color w:val="auto"/>
                <w:sz w:val="21"/>
                <w:szCs w:val="21"/>
                <w:lang w:val="en-US" w:eastAsia="zh-CN"/>
              </w:rPr>
              <w:t xml:space="preserve">                </w:t>
            </w:r>
            <w:r>
              <w:rPr>
                <w:rFonts w:hint="default" w:ascii="Times New Roman" w:hAnsi="Times New Roman" w:eastAsia="宋体" w:cs="Times New Roman"/>
                <w:bCs/>
                <w:color w:val="auto"/>
                <w:sz w:val="21"/>
                <w:szCs w:val="21"/>
              </w:rPr>
              <w:t>英文名称：Diesel oil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4" w:hRule="atLeast"/>
          <w:jc w:val="center"/>
        </w:trPr>
        <w:tc>
          <w:tcPr>
            <w:tcW w:w="832" w:type="dxa"/>
            <w:vMerge w:val="restart"/>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理化</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性质</w:t>
            </w:r>
          </w:p>
        </w:tc>
        <w:tc>
          <w:tcPr>
            <w:tcW w:w="8321" w:type="dxa"/>
            <w:gridSpan w:val="4"/>
            <w:noWrap w:val="0"/>
            <w:vAlign w:val="center"/>
          </w:tcPr>
          <w:p>
            <w:pPr>
              <w:keepNext w:val="0"/>
              <w:keepLines w:val="0"/>
              <w:pageBreakBefore w:val="0"/>
              <w:widowControl w:val="0"/>
              <w:kinsoku/>
              <w:wordWrap/>
              <w:overflowPunct/>
              <w:topLinePunct w:val="0"/>
              <w:autoSpaceDE w:val="0"/>
              <w:autoSpaceDN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外观与性状：稍有粘性的棕色液体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83" w:hRule="atLeast"/>
          <w:jc w:val="center"/>
        </w:trPr>
        <w:tc>
          <w:tcPr>
            <w:tcW w:w="832" w:type="dxa"/>
            <w:vMerge w:val="continue"/>
            <w:noWrap w:val="0"/>
            <w:vAlign w:val="center"/>
          </w:tcPr>
          <w:p>
            <w:pPr>
              <w:keepNext w:val="0"/>
              <w:keepLines w:val="0"/>
              <w:pageBreakBefore w:val="0"/>
              <w:widowControl w:val="0"/>
              <w:kinsoku/>
              <w:wordWrap/>
              <w:overflowPunct/>
              <w:topLinePunct w:val="0"/>
              <w:bidi w:val="0"/>
              <w:adjustRightInd w:val="0"/>
              <w:snapToGrid/>
              <w:spacing w:line="240" w:lineRule="auto"/>
              <w:textAlignment w:val="auto"/>
              <w:rPr>
                <w:rFonts w:hint="default" w:ascii="Times New Roman" w:hAnsi="Times New Roman" w:eastAsia="宋体" w:cs="Times New Roman"/>
                <w:bCs/>
                <w:color w:val="auto"/>
                <w:sz w:val="21"/>
                <w:szCs w:val="21"/>
              </w:rPr>
            </w:pPr>
          </w:p>
        </w:tc>
        <w:tc>
          <w:tcPr>
            <w:tcW w:w="2709" w:type="dxa"/>
            <w:gridSpan w:val="2"/>
            <w:noWrap w:val="0"/>
            <w:vAlign w:val="center"/>
          </w:tcPr>
          <w:p>
            <w:pPr>
              <w:keepNext w:val="0"/>
              <w:keepLines w:val="0"/>
              <w:pageBreakBefore w:val="0"/>
              <w:widowControl w:val="0"/>
              <w:kinsoku/>
              <w:wordWrap/>
              <w:overflowPunct/>
              <w:topLinePunct w:val="0"/>
              <w:autoSpaceDE w:val="0"/>
              <w:autoSpaceDN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熔点（℃）：-18</w:t>
            </w:r>
          </w:p>
        </w:tc>
        <w:tc>
          <w:tcPr>
            <w:tcW w:w="2584" w:type="dxa"/>
            <w:noWrap w:val="0"/>
            <w:vAlign w:val="center"/>
          </w:tcPr>
          <w:p>
            <w:pPr>
              <w:keepNext w:val="0"/>
              <w:keepLines w:val="0"/>
              <w:pageBreakBefore w:val="0"/>
              <w:widowControl w:val="0"/>
              <w:kinsoku/>
              <w:wordWrap/>
              <w:overflowPunct/>
              <w:topLinePunct w:val="0"/>
              <w:autoSpaceDE w:val="0"/>
              <w:autoSpaceDN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沸点（℃）：282-338</w:t>
            </w:r>
          </w:p>
        </w:tc>
        <w:tc>
          <w:tcPr>
            <w:tcW w:w="3028" w:type="dxa"/>
            <w:noWrap w:val="0"/>
            <w:vAlign w:val="center"/>
          </w:tcPr>
          <w:p>
            <w:pPr>
              <w:keepNext w:val="0"/>
              <w:keepLines w:val="0"/>
              <w:pageBreakBefore w:val="0"/>
              <w:widowControl w:val="0"/>
              <w:kinsoku/>
              <w:wordWrap/>
              <w:overflowPunct/>
              <w:topLinePunct w:val="0"/>
              <w:autoSpaceDE w:val="0"/>
              <w:autoSpaceDN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引燃温度（℃）：257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3" w:hRule="atLeast"/>
          <w:jc w:val="center"/>
        </w:trPr>
        <w:tc>
          <w:tcPr>
            <w:tcW w:w="832" w:type="dxa"/>
            <w:vMerge w:val="continue"/>
            <w:noWrap w:val="0"/>
            <w:vAlign w:val="center"/>
          </w:tcPr>
          <w:p>
            <w:pPr>
              <w:keepNext w:val="0"/>
              <w:keepLines w:val="0"/>
              <w:pageBreakBefore w:val="0"/>
              <w:widowControl w:val="0"/>
              <w:kinsoku/>
              <w:wordWrap/>
              <w:overflowPunct/>
              <w:topLinePunct w:val="0"/>
              <w:bidi w:val="0"/>
              <w:adjustRightInd w:val="0"/>
              <w:snapToGrid/>
              <w:spacing w:line="240" w:lineRule="auto"/>
              <w:textAlignment w:val="auto"/>
              <w:rPr>
                <w:rFonts w:hint="default" w:ascii="Times New Roman" w:hAnsi="Times New Roman" w:eastAsia="宋体" w:cs="Times New Roman"/>
                <w:bCs/>
                <w:color w:val="auto"/>
                <w:sz w:val="21"/>
                <w:szCs w:val="21"/>
              </w:rPr>
            </w:pPr>
          </w:p>
        </w:tc>
        <w:tc>
          <w:tcPr>
            <w:tcW w:w="8321" w:type="dxa"/>
            <w:gridSpan w:val="4"/>
            <w:noWrap w:val="0"/>
            <w:vAlign w:val="center"/>
          </w:tcPr>
          <w:p>
            <w:pPr>
              <w:keepNext w:val="0"/>
              <w:keepLines w:val="0"/>
              <w:pageBreakBefore w:val="0"/>
              <w:widowControl w:val="0"/>
              <w:kinsoku/>
              <w:wordWrap/>
              <w:overflowPunct/>
              <w:topLinePunct w:val="0"/>
              <w:autoSpaceDE w:val="0"/>
              <w:autoSpaceDN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燃爆危险：本品易燃，具有刺激性。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87" w:hRule="atLeast"/>
          <w:jc w:val="center"/>
        </w:trPr>
        <w:tc>
          <w:tcPr>
            <w:tcW w:w="832" w:type="dxa"/>
            <w:vMerge w:val="restart"/>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毒</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害</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性</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及</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健</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康</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害</w:t>
            </w:r>
          </w:p>
        </w:tc>
        <w:tc>
          <w:tcPr>
            <w:tcW w:w="1139" w:type="dxa"/>
            <w:noWrap w:val="0"/>
            <w:vAlign w:val="center"/>
          </w:tcPr>
          <w:p>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侵入途径</w:t>
            </w:r>
          </w:p>
        </w:tc>
        <w:tc>
          <w:tcPr>
            <w:tcW w:w="7182" w:type="dxa"/>
            <w:gridSpan w:val="3"/>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呼吸、皮肤、食入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vMerge w:val="continue"/>
            <w:noWrap w:val="0"/>
            <w:vAlign w:val="center"/>
          </w:tcPr>
          <w:p>
            <w:pPr>
              <w:keepNext w:val="0"/>
              <w:keepLines w:val="0"/>
              <w:pageBreakBefore w:val="0"/>
              <w:widowControl w:val="0"/>
              <w:kinsoku/>
              <w:wordWrap/>
              <w:overflowPunct/>
              <w:topLinePunct w:val="0"/>
              <w:bidi w:val="0"/>
              <w:adjustRightInd w:val="0"/>
              <w:snapToGrid/>
              <w:spacing w:line="240" w:lineRule="auto"/>
              <w:textAlignment w:val="auto"/>
              <w:rPr>
                <w:rFonts w:hint="default" w:ascii="Times New Roman" w:hAnsi="Times New Roman" w:eastAsia="宋体" w:cs="Times New Roman"/>
                <w:bCs/>
                <w:color w:val="auto"/>
                <w:sz w:val="21"/>
                <w:szCs w:val="21"/>
              </w:rPr>
            </w:pPr>
          </w:p>
        </w:tc>
        <w:tc>
          <w:tcPr>
            <w:tcW w:w="1139" w:type="dxa"/>
            <w:noWrap w:val="0"/>
            <w:vAlign w:val="center"/>
          </w:tcPr>
          <w:p>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健康危害</w:t>
            </w:r>
          </w:p>
        </w:tc>
        <w:tc>
          <w:tcPr>
            <w:tcW w:w="7182" w:type="dxa"/>
            <w:gridSpan w:val="3"/>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皮肤接触可为主要吸收途径，可致急性肾脏损害。柴油可引起接触性皮炎、油性痤疮。吸入其雾滴或液体呛入可引起吸入性肺炎。能经胎盘进入胎儿血中。柴油废气可引起眼、鼻刺激症状，头晕及头痛。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vMerge w:val="continue"/>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spacing w:line="240" w:lineRule="auto"/>
              <w:textAlignment w:val="auto"/>
              <w:rPr>
                <w:rFonts w:hint="default" w:ascii="Times New Roman" w:hAnsi="Times New Roman" w:eastAsia="宋体" w:cs="Times New Roman"/>
                <w:bCs/>
                <w:color w:val="auto"/>
                <w:sz w:val="21"/>
                <w:szCs w:val="21"/>
              </w:rPr>
            </w:pPr>
          </w:p>
        </w:tc>
        <w:tc>
          <w:tcPr>
            <w:tcW w:w="1139" w:type="dxa"/>
            <w:tcBorders>
              <w:bottom w:val="single" w:color="auto" w:sz="4" w:space="0"/>
            </w:tcBorders>
            <w:noWrap w:val="0"/>
            <w:vAlign w:val="center"/>
          </w:tcPr>
          <w:p>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急救措施</w:t>
            </w:r>
          </w:p>
        </w:tc>
        <w:tc>
          <w:tcPr>
            <w:tcW w:w="7182" w:type="dxa"/>
            <w:gridSpan w:val="3"/>
            <w:tcBorders>
              <w:bottom w:val="single" w:color="auto" w:sz="4" w:space="0"/>
            </w:tcBorders>
            <w:noWrap w:val="0"/>
            <w:vAlign w:val="center"/>
          </w:tcPr>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吸入：迅速脱离现场至空气新鲜处。保持呼吸道通畅。如呼吸困难，给输氧。如呼吸停止，立即进行人工呼吸。就医。</w:t>
            </w:r>
          </w:p>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皮肤接触：立即脱去污染的衣着，用肥皂水和清水彻底冲洗皮肤。就医</w:t>
            </w:r>
          </w:p>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眼睛接触：提起眼睑，用流动清水或生理盐水冲洗。就医</w:t>
            </w:r>
          </w:p>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食入：尽快彻底洗胃。就医。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vMerge w:val="restart"/>
            <w:tcBorders>
              <w:top w:val="single" w:color="auto" w:sz="4" w:space="0"/>
            </w:tcBorders>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燃</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烧</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爆</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炸</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险</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性</w:t>
            </w:r>
          </w:p>
        </w:tc>
        <w:tc>
          <w:tcPr>
            <w:tcW w:w="1139" w:type="dxa"/>
            <w:vMerge w:val="restart"/>
            <w:tcBorders>
              <w:top w:val="single" w:color="auto" w:sz="4" w:space="0"/>
            </w:tcBorders>
            <w:noWrap w:val="0"/>
            <w:vAlign w:val="center"/>
          </w:tcPr>
          <w:p>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危险特性</w:t>
            </w:r>
          </w:p>
        </w:tc>
        <w:tc>
          <w:tcPr>
            <w:tcW w:w="7182" w:type="dxa"/>
            <w:gridSpan w:val="3"/>
            <w:tcBorders>
              <w:top w:val="single" w:color="auto" w:sz="4" w:space="0"/>
            </w:tcBorders>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闪点（℃）：≥45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vMerge w:val="continue"/>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p>
        </w:tc>
        <w:tc>
          <w:tcPr>
            <w:tcW w:w="1139" w:type="dxa"/>
            <w:vMerge w:val="continue"/>
            <w:noWrap w:val="0"/>
            <w:vAlign w:val="center"/>
          </w:tcPr>
          <w:p>
            <w:pPr>
              <w:keepNext w:val="0"/>
              <w:keepLines w:val="0"/>
              <w:pageBreakBefore w:val="0"/>
              <w:widowControl w:val="0"/>
              <w:kinsoku/>
              <w:wordWrap/>
              <w:overflowPunct/>
              <w:topLinePunct w:val="0"/>
              <w:bidi w:val="0"/>
              <w:snapToGrid/>
              <w:spacing w:line="240" w:lineRule="auto"/>
              <w:ind w:firstLine="420" w:firstLineChars="200"/>
              <w:jc w:val="center"/>
              <w:textAlignment w:val="auto"/>
              <w:rPr>
                <w:rFonts w:hint="default" w:ascii="Times New Roman" w:hAnsi="Times New Roman" w:eastAsia="宋体" w:cs="Times New Roman"/>
                <w:bCs/>
                <w:color w:val="auto"/>
                <w:sz w:val="21"/>
                <w:szCs w:val="21"/>
              </w:rPr>
            </w:pPr>
          </w:p>
        </w:tc>
        <w:tc>
          <w:tcPr>
            <w:tcW w:w="7182" w:type="dxa"/>
            <w:gridSpan w:val="3"/>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遇明火、高热或与氧化剂接触，有引起燃烧爆炸的危险。若遇高热，容器内压增大，有开裂和爆炸的危险。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4" w:hRule="atLeast"/>
          <w:jc w:val="center"/>
        </w:trPr>
        <w:tc>
          <w:tcPr>
            <w:tcW w:w="832" w:type="dxa"/>
            <w:vMerge w:val="continue"/>
            <w:noWrap w:val="0"/>
            <w:vAlign w:val="center"/>
          </w:tcPr>
          <w:p>
            <w:pPr>
              <w:keepNext w:val="0"/>
              <w:keepLines w:val="0"/>
              <w:pageBreakBefore w:val="0"/>
              <w:widowControl w:val="0"/>
              <w:kinsoku/>
              <w:wordWrap/>
              <w:overflowPunct/>
              <w:topLinePunct w:val="0"/>
              <w:bidi w:val="0"/>
              <w:adjustRightInd w:val="0"/>
              <w:snapToGrid/>
              <w:spacing w:line="240" w:lineRule="auto"/>
              <w:textAlignment w:val="auto"/>
              <w:rPr>
                <w:rFonts w:hint="default" w:ascii="Times New Roman" w:hAnsi="Times New Roman" w:eastAsia="宋体" w:cs="Times New Roman"/>
                <w:bCs/>
                <w:color w:val="auto"/>
                <w:sz w:val="21"/>
                <w:szCs w:val="21"/>
              </w:rPr>
            </w:pPr>
          </w:p>
        </w:tc>
        <w:tc>
          <w:tcPr>
            <w:tcW w:w="1139" w:type="dxa"/>
            <w:noWrap w:val="0"/>
            <w:vAlign w:val="center"/>
          </w:tcPr>
          <w:p>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禁忌物</w:t>
            </w:r>
          </w:p>
        </w:tc>
        <w:tc>
          <w:tcPr>
            <w:tcW w:w="7182" w:type="dxa"/>
            <w:gridSpan w:val="3"/>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强氧化剂、卤素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65" w:hRule="atLeast"/>
          <w:jc w:val="center"/>
        </w:trPr>
        <w:tc>
          <w:tcPr>
            <w:tcW w:w="832" w:type="dxa"/>
            <w:vMerge w:val="continue"/>
            <w:noWrap w:val="0"/>
            <w:vAlign w:val="center"/>
          </w:tcPr>
          <w:p>
            <w:pPr>
              <w:keepNext w:val="0"/>
              <w:keepLines w:val="0"/>
              <w:pageBreakBefore w:val="0"/>
              <w:widowControl w:val="0"/>
              <w:kinsoku/>
              <w:wordWrap/>
              <w:overflowPunct/>
              <w:topLinePunct w:val="0"/>
              <w:bidi w:val="0"/>
              <w:adjustRightInd w:val="0"/>
              <w:snapToGrid/>
              <w:spacing w:line="240" w:lineRule="auto"/>
              <w:textAlignment w:val="auto"/>
              <w:rPr>
                <w:rFonts w:hint="default" w:ascii="Times New Roman" w:hAnsi="Times New Roman" w:eastAsia="宋体" w:cs="Times New Roman"/>
                <w:bCs/>
                <w:color w:val="auto"/>
                <w:sz w:val="21"/>
                <w:szCs w:val="21"/>
              </w:rPr>
            </w:pPr>
          </w:p>
        </w:tc>
        <w:tc>
          <w:tcPr>
            <w:tcW w:w="1139" w:type="dxa"/>
            <w:noWrap w:val="0"/>
            <w:vAlign w:val="center"/>
          </w:tcPr>
          <w:p>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灭火方法</w:t>
            </w:r>
          </w:p>
        </w:tc>
        <w:tc>
          <w:tcPr>
            <w:tcW w:w="7182" w:type="dxa"/>
            <w:gridSpan w:val="3"/>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消防人员须佩戴防毒面具、穿全身消防服，在上风向灭火。尽可能将容器从火场移至空旷处。喷水保持火场容器冷却，直至灭火结束。处在火场中的容器若已变色或从安全泄压装置中产生声音，必须马上撤离。灭火剂：雾状水、泡沫、干粉、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泄</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漏</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处</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理</w:t>
            </w: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vMerge w:val="restart"/>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防</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护</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措</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施</w:t>
            </w: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呼吸系统防护：空气中浓度超标时，建议佩戴自吸过滤式防毒面具（半面罩）。紧急事态抢救或撤离时，应该佩戴空气呼吸器。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1" w:hRule="atLeast"/>
          <w:jc w:val="center"/>
        </w:trPr>
        <w:tc>
          <w:tcPr>
            <w:tcW w:w="832" w:type="dxa"/>
            <w:vMerge w:val="continue"/>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眼睛防护：戴化学安全防护眼镜。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17" w:hRule="atLeast"/>
          <w:jc w:val="center"/>
        </w:trPr>
        <w:tc>
          <w:tcPr>
            <w:tcW w:w="832" w:type="dxa"/>
            <w:vMerge w:val="continue"/>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手部防护：戴橡胶耐油手套。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1" w:hRule="atLeast"/>
          <w:jc w:val="center"/>
        </w:trPr>
        <w:tc>
          <w:tcPr>
            <w:tcW w:w="832" w:type="dxa"/>
            <w:vMerge w:val="continue"/>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身体防护：穿一般作业防护服。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5" w:hRule="atLeast"/>
          <w:jc w:val="center"/>
        </w:trPr>
        <w:tc>
          <w:tcPr>
            <w:tcW w:w="832" w:type="dxa"/>
            <w:vMerge w:val="continue"/>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其它: 工作现场严禁吸烟。避免长期反复接触。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832" w:type="dxa"/>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运</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输</w:t>
            </w: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运输前应先检查包装容器是否完整、密封，运输过程中要确保容器不泄漏、不倒塌、不坠落、不损坏。运输时运输车辆应配备相应品种和数量的消防器材及泄漏应急处理设备。夏季最好早晚运输。运输时所用的槽（罐）车应有接地链，槽内可设孔隔板以减少震荡产生静电。严禁与氧化剂、卤素、食用化学品等混装混运。运输途中应防曝晒、雨淋，防高温。中途停留时应远离火种、热源、高温区。装运该物品的车辆排气管必须配备阻火装置，禁止使用易产生火花的机械设备和工具装卸。运输车船必须彻底清洗、消毒，否则不得装运其它物品。船运时，配装位置应远离卧室、厨房，并与机舱、电源、火源等部位隔离。公路运输时要按规定路线行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0" w:hRule="atLeast"/>
          <w:jc w:val="center"/>
        </w:trPr>
        <w:tc>
          <w:tcPr>
            <w:tcW w:w="832" w:type="dxa"/>
            <w:noWrap w:val="0"/>
            <w:vAlign w:val="center"/>
          </w:tcPr>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储</w:t>
            </w:r>
          </w:p>
          <w:p>
            <w:pPr>
              <w:keepNext w:val="0"/>
              <w:keepLines w:val="0"/>
              <w:pageBreakBefore w:val="0"/>
              <w:widowControl w:val="0"/>
              <w:kinsoku/>
              <w:wordWrap/>
              <w:overflowPunct/>
              <w:topLinePunct w:val="0"/>
              <w:bidi w:val="0"/>
              <w:adjustRightInd w:val="0"/>
              <w:snapToGrid/>
              <w:spacing w:line="240" w:lineRule="auto"/>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存</w:t>
            </w:r>
          </w:p>
        </w:tc>
        <w:tc>
          <w:tcPr>
            <w:tcW w:w="8321" w:type="dxa"/>
            <w:gridSpan w:val="4"/>
            <w:noWrap w:val="0"/>
            <w:vAlign w:val="center"/>
          </w:tcPr>
          <w:p>
            <w:pPr>
              <w:keepNext w:val="0"/>
              <w:keepLines w:val="0"/>
              <w:pageBreakBefore w:val="0"/>
              <w:widowControl w:val="0"/>
              <w:kinsoku/>
              <w:wordWrap/>
              <w:overflowPunct/>
              <w:topLinePunct w:val="0"/>
              <w:bidi w:val="0"/>
              <w:snapToGrid/>
              <w:spacing w:line="240"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储存于阴凉、通风的库房。远离火种、热源。应与氧化剂、卤素分开存放，切忌混储。采用防爆型照明、通风设施。禁止使用易产生火花的机械设备和工具。储区应备有泄漏应急处理设备和合适的收容材料。</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附件2.2 生产、储运过程中的主要危险有害因素分析</w:t>
      </w:r>
      <w:bookmarkEnd w:id="203"/>
      <w:bookmarkEnd w:id="204"/>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根据《生产过程危险和有害因素分类与代码》和《企业职工伤害事故分类》等的有关规定，结合企业生产物料及生产过程实际情况，</w:t>
      </w:r>
      <w:r>
        <w:rPr>
          <w:rFonts w:hint="eastAsia" w:cs="Times New Roman"/>
          <w:color w:val="auto"/>
          <w:sz w:val="28"/>
          <w:szCs w:val="28"/>
          <w:lang w:eastAsia="zh-CN"/>
        </w:rPr>
        <w:t>黑山鸿泰化工有限公司</w:t>
      </w:r>
      <w:r>
        <w:rPr>
          <w:rFonts w:hint="eastAsia" w:ascii="Times New Roman" w:hAnsi="Times New Roman" w:eastAsia="宋体" w:cs="Times New Roman"/>
          <w:color w:val="auto"/>
          <w:sz w:val="28"/>
          <w:szCs w:val="28"/>
          <w:lang w:eastAsia="zh-CN"/>
        </w:rPr>
        <w:t>主要危险、有害因素为：</w:t>
      </w:r>
      <w:r>
        <w:rPr>
          <w:rFonts w:hint="eastAsia" w:ascii="Times New Roman" w:hAnsi="Times New Roman" w:eastAsia="宋体" w:cs="Times New Roman"/>
          <w:snapToGrid/>
          <w:color w:val="000000"/>
          <w:w w:val="100"/>
          <w:kern w:val="2"/>
          <w:sz w:val="28"/>
          <w:szCs w:val="28"/>
          <w:lang w:val="en-US" w:eastAsia="zh-CN"/>
        </w:rPr>
        <w:t>火灾、爆炸、</w:t>
      </w:r>
      <w:r>
        <w:rPr>
          <w:rFonts w:hint="eastAsia"/>
          <w:sz w:val="28"/>
          <w:szCs w:val="28"/>
        </w:rPr>
        <w:t>压力容器爆炸、</w:t>
      </w:r>
      <w:r>
        <w:rPr>
          <w:rFonts w:hint="eastAsia" w:ascii="Times New Roman" w:hAnsi="Times New Roman" w:eastAsia="宋体" w:cs="Times New Roman"/>
          <w:snapToGrid/>
          <w:color w:val="000000"/>
          <w:w w:val="100"/>
          <w:kern w:val="2"/>
          <w:sz w:val="28"/>
          <w:szCs w:val="28"/>
          <w:lang w:val="en-US" w:eastAsia="zh-CN"/>
        </w:rPr>
        <w:t>中毒和窒息、机械伤害、触电、物体打击、高处坠落、灼烫、车辆伤害、淹溺、噪声与振动、粉尘伤害。</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bookmarkStart w:id="205" w:name="_Toc4274_WPSOffice_Level1"/>
      <w:bookmarkStart w:id="206" w:name="_Toc182413904"/>
      <w:bookmarkStart w:id="207" w:name="_Toc307834667"/>
      <w:bookmarkStart w:id="208" w:name="_Toc12670_WPSOffice_Level1"/>
      <w:bookmarkStart w:id="209" w:name="_Toc13273_WPSOffice_Level1"/>
      <w:bookmarkStart w:id="210" w:name="_Toc201658733"/>
      <w:bookmarkStart w:id="211" w:name="_Toc202591504"/>
      <w:bookmarkStart w:id="212" w:name="_Toc201742056"/>
      <w:bookmarkStart w:id="213" w:name="_Toc200353084"/>
      <w:bookmarkStart w:id="214" w:name="_Toc384929533"/>
      <w:bookmarkStart w:id="215" w:name="_Toc200352759"/>
      <w:bookmarkStart w:id="216" w:name="_Toc195600386"/>
      <w:r>
        <w:rPr>
          <w:rFonts w:hint="eastAsia" w:ascii="Times New Roman" w:hAnsi="Times New Roman" w:eastAsia="宋体" w:cs="Times New Roman"/>
          <w:color w:val="000000"/>
          <w:kern w:val="2"/>
          <w:sz w:val="28"/>
          <w:szCs w:val="28"/>
          <w:lang w:val="en-US" w:eastAsia="zh-CN" w:bidi="ar-SA"/>
        </w:rPr>
        <w:t xml:space="preserve">附件2.2.1 </w:t>
      </w:r>
      <w:bookmarkEnd w:id="205"/>
      <w:bookmarkEnd w:id="206"/>
      <w:bookmarkEnd w:id="207"/>
      <w:bookmarkEnd w:id="208"/>
      <w:bookmarkEnd w:id="209"/>
      <w:bookmarkStart w:id="217" w:name="_Toc20186_WPSOffice_Level1"/>
      <w:bookmarkStart w:id="218" w:name="_Toc294_WPSOffice_Level1"/>
      <w:bookmarkStart w:id="219" w:name="_Toc29237_WPSOffice_Level1"/>
      <w:r>
        <w:rPr>
          <w:rFonts w:hint="eastAsia" w:ascii="Times New Roman" w:hAnsi="Times New Roman" w:eastAsia="宋体" w:cs="Times New Roman"/>
          <w:color w:val="000000"/>
          <w:kern w:val="2"/>
          <w:sz w:val="28"/>
          <w:szCs w:val="28"/>
          <w:lang w:val="en-US" w:eastAsia="zh-CN" w:bidi="ar-SA"/>
        </w:rPr>
        <w:t>火灾</w:t>
      </w:r>
      <w:bookmarkEnd w:id="217"/>
      <w:bookmarkEnd w:id="218"/>
      <w:r>
        <w:rPr>
          <w:rFonts w:hint="eastAsia" w:ascii="Times New Roman" w:hAnsi="Times New Roman" w:eastAsia="宋体" w:cs="Times New Roman"/>
          <w:color w:val="000000"/>
          <w:kern w:val="2"/>
          <w:sz w:val="28"/>
          <w:szCs w:val="28"/>
          <w:lang w:val="en-US" w:eastAsia="zh-CN" w:bidi="ar-SA"/>
        </w:rPr>
        <w:t>和爆炸</w:t>
      </w:r>
      <w:bookmarkEnd w:id="219"/>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20" w:name="_Toc24706_WPSOffice_Level1"/>
      <w:bookmarkStart w:id="221" w:name="_Toc24779_WPSOffice_Level1"/>
      <w:r>
        <w:rPr>
          <w:rFonts w:hint="eastAsia" w:ascii="Times New Roman" w:hAnsi="Times New Roman" w:eastAsia="宋体" w:cs="Times New Roman"/>
          <w:color w:val="auto"/>
          <w:sz w:val="28"/>
          <w:szCs w:val="28"/>
          <w:lang w:eastAsia="zh-CN"/>
        </w:rPr>
        <w:t>（1）糠醛生产过程</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22" w:name="_Toc198687844"/>
      <w:bookmarkStart w:id="223" w:name="_Toc198688264"/>
      <w:r>
        <w:rPr>
          <w:rFonts w:hint="eastAsia" w:ascii="Times New Roman" w:hAnsi="Times New Roman" w:eastAsia="宋体" w:cs="Times New Roman"/>
          <w:color w:val="auto"/>
          <w:sz w:val="28"/>
          <w:szCs w:val="28"/>
          <w:lang w:eastAsia="zh-CN"/>
        </w:rPr>
        <w:t>①生产糠醛使用玉米芯和硫酸，粗醛精馏塔为真空操作，塔内温度约86℃~109℃，超过糠醛闪点60℃，操作过程可能释放可燃蒸汽，精制工段的主要火灾危险类别应为乙类，主要危险部位为精制塔顶部产生的醛汽。因此，精制工段的电气设备应采用防爆电气设备。生产过程温度较高，控制不当可能发生火灾爆炸事故。</w:t>
      </w:r>
      <w:bookmarkEnd w:id="222"/>
      <w:bookmarkEnd w:id="223"/>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default" w:ascii="Times New Roman" w:hAnsi="Times New Roman" w:eastAsia="宋体" w:cs="Times New Roman"/>
          <w:color w:val="FF0000"/>
          <w:sz w:val="28"/>
          <w:szCs w:val="28"/>
          <w:lang w:val="en-US" w:eastAsia="zh-CN"/>
        </w:rPr>
      </w:pPr>
      <w:r>
        <w:rPr>
          <w:rFonts w:hint="eastAsia" w:ascii="Times New Roman" w:hAnsi="Times New Roman" w:eastAsia="宋体" w:cs="Times New Roman"/>
          <w:color w:val="FF0000"/>
          <w:sz w:val="28"/>
          <w:szCs w:val="28"/>
          <w:lang w:val="en-US" w:eastAsia="zh-CN"/>
        </w:rPr>
        <w:t>此外，</w:t>
      </w:r>
      <w:r>
        <w:rPr>
          <w:rFonts w:hint="eastAsia" w:ascii="Times New Roman" w:hAnsi="Times New Roman" w:eastAsia="宋体" w:cs="Times New Roman"/>
          <w:color w:val="FF0000"/>
          <w:sz w:val="28"/>
          <w:szCs w:val="28"/>
          <w:lang w:eastAsia="zh-CN"/>
        </w:rPr>
        <w:t>粗醛精馏塔</w:t>
      </w:r>
      <w:r>
        <w:rPr>
          <w:rFonts w:hint="eastAsia" w:ascii="Times New Roman" w:hAnsi="Times New Roman" w:eastAsia="宋体" w:cs="Times New Roman"/>
          <w:color w:val="FF0000"/>
          <w:sz w:val="28"/>
          <w:szCs w:val="28"/>
          <w:lang w:val="en-US" w:eastAsia="zh-CN"/>
        </w:rPr>
        <w:t>的</w:t>
      </w:r>
      <w:r>
        <w:rPr>
          <w:rFonts w:hint="eastAsia" w:ascii="Times New Roman" w:hAnsi="Times New Roman" w:eastAsia="宋体" w:cs="Times New Roman"/>
          <w:color w:val="FF0000"/>
          <w:sz w:val="28"/>
          <w:szCs w:val="28"/>
          <w:lang w:eastAsia="zh-CN"/>
        </w:rPr>
        <w:t>真空操作，空气</w:t>
      </w:r>
      <w:r>
        <w:rPr>
          <w:rFonts w:hint="eastAsia" w:ascii="Times New Roman" w:hAnsi="Times New Roman" w:eastAsia="宋体" w:cs="Times New Roman"/>
          <w:color w:val="FF0000"/>
          <w:sz w:val="28"/>
          <w:szCs w:val="28"/>
          <w:lang w:val="en-US" w:eastAsia="zh-CN"/>
        </w:rPr>
        <w:t>有</w:t>
      </w:r>
      <w:r>
        <w:rPr>
          <w:rFonts w:hint="eastAsia" w:ascii="Times New Roman" w:hAnsi="Times New Roman" w:eastAsia="宋体" w:cs="Times New Roman"/>
          <w:color w:val="FF0000"/>
          <w:sz w:val="28"/>
          <w:szCs w:val="28"/>
          <w:lang w:eastAsia="zh-CN"/>
        </w:rPr>
        <w:t>可能倒吸进炉内，使炉内已建立的可燃气氛与空气的安全混合比进入到爆</w:t>
      </w:r>
      <w:r>
        <w:rPr>
          <w:rFonts w:hint="eastAsia" w:ascii="Times New Roman" w:hAnsi="Times New Roman" w:eastAsia="宋体" w:cs="Times New Roman"/>
          <w:color w:val="FF0000"/>
          <w:sz w:val="28"/>
          <w:szCs w:val="28"/>
          <w:lang w:val="en-US" w:eastAsia="zh-CN"/>
        </w:rPr>
        <w:t>炸极限范围，进而引发火灾爆炸。</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24" w:name="_Toc198687845"/>
      <w:bookmarkStart w:id="225" w:name="_Toc198688265"/>
      <w:r>
        <w:rPr>
          <w:rFonts w:hint="eastAsia" w:ascii="Times New Roman" w:hAnsi="Times New Roman" w:eastAsia="宋体" w:cs="Times New Roman"/>
          <w:color w:val="auto"/>
          <w:sz w:val="28"/>
          <w:szCs w:val="28"/>
          <w:lang w:eastAsia="zh-CN"/>
        </w:rPr>
        <w:t>②生产糠醛原料是玉米芯，为可燃物，在储存和粉碎过程中遇点火源可</w:t>
      </w:r>
      <w:bookmarkEnd w:id="224"/>
      <w:bookmarkEnd w:id="225"/>
      <w:bookmarkStart w:id="226" w:name="_Toc198688266"/>
      <w:bookmarkStart w:id="227" w:name="_Toc198687846"/>
      <w:r>
        <w:rPr>
          <w:rFonts w:hint="eastAsia" w:ascii="Times New Roman" w:hAnsi="Times New Roman" w:eastAsia="宋体" w:cs="Times New Roman"/>
          <w:color w:val="auto"/>
          <w:sz w:val="28"/>
          <w:szCs w:val="28"/>
          <w:lang w:eastAsia="zh-CN"/>
        </w:rPr>
        <w:t>能发生火灾。</w:t>
      </w:r>
      <w:bookmarkEnd w:id="226"/>
      <w:bookmarkEnd w:id="227"/>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28" w:name="_Toc198688267"/>
      <w:bookmarkStart w:id="229" w:name="_Toc198687847"/>
      <w:r>
        <w:rPr>
          <w:rFonts w:hint="eastAsia" w:ascii="Times New Roman" w:hAnsi="Times New Roman" w:eastAsia="宋体" w:cs="Times New Roman"/>
          <w:color w:val="auto"/>
          <w:sz w:val="28"/>
          <w:szCs w:val="28"/>
          <w:lang w:eastAsia="zh-CN"/>
        </w:rPr>
        <w:t>③玉米芯粉碎后进入水解锅水解的压力为0.5~0.</w:t>
      </w:r>
      <w:r>
        <w:rPr>
          <w:rFonts w:hint="eastAsia" w:ascii="Times New Roman" w:hAnsi="Times New Roman" w:eastAsia="宋体" w:cs="Times New Roman"/>
          <w:color w:val="auto"/>
          <w:sz w:val="28"/>
          <w:szCs w:val="28"/>
          <w:lang w:val="en-US" w:eastAsia="zh-CN"/>
        </w:rPr>
        <w:t>6</w:t>
      </w:r>
      <w:r>
        <w:rPr>
          <w:rFonts w:hint="eastAsia" w:ascii="Times New Roman" w:hAnsi="Times New Roman" w:eastAsia="宋体" w:cs="Times New Roman"/>
          <w:color w:val="auto"/>
          <w:sz w:val="28"/>
          <w:szCs w:val="28"/>
          <w:lang w:eastAsia="zh-CN"/>
        </w:rPr>
        <w:t>MPa，反应温度140~180℃，经蒸煮5~8小</w:t>
      </w:r>
      <w:bookmarkEnd w:id="228"/>
      <w:bookmarkEnd w:id="229"/>
      <w:bookmarkStart w:id="230" w:name="_Toc198687848"/>
      <w:bookmarkStart w:id="231" w:name="_Toc198688268"/>
      <w:r>
        <w:rPr>
          <w:rFonts w:hint="eastAsia" w:ascii="Times New Roman" w:hAnsi="Times New Roman" w:eastAsia="宋体" w:cs="Times New Roman"/>
          <w:color w:val="auto"/>
          <w:sz w:val="28"/>
          <w:szCs w:val="28"/>
          <w:lang w:eastAsia="zh-CN"/>
        </w:rPr>
        <w:t>时后排渣。玉米芯中的多缩戊糖以硫酸作为水解剂，经过水解成戍糖。再经过脱水环化生成糠醛。但以上两个反应在常温下不易进行，因此，在实际生产中采用较高温度和压力的方法。一般在生产中采用的温度为140~180℃。水解锅为压力容器，如果水解锅安全防护装置失效、承压元件失效或者密封元件失效可能导致泄漏和超压破裂爆炸。水解锅一旦泄漏不仅造成热伤害，还可能引发火灾、爆炸、中毒、腐蚀等事故。另外水解锅如维护保养不及时、腐蚀严重，可能导致锥体环焊缝脱落而发生事故。</w:t>
      </w:r>
      <w:bookmarkEnd w:id="230"/>
      <w:bookmarkEnd w:id="231"/>
      <w:r>
        <w:rPr>
          <w:rFonts w:hint="eastAsia" w:ascii="Times New Roman" w:hAnsi="Times New Roman" w:eastAsia="宋体" w:cs="Times New Roman"/>
          <w:color w:val="auto"/>
          <w:sz w:val="28"/>
          <w:szCs w:val="28"/>
          <w:lang w:eastAsia="zh-CN"/>
        </w:rPr>
        <w:t xml:space="preserve"> </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32" w:name="_Toc198688269"/>
      <w:bookmarkStart w:id="233" w:name="_Toc198687849"/>
      <w:r>
        <w:rPr>
          <w:rFonts w:hint="eastAsia" w:ascii="Times New Roman" w:hAnsi="Times New Roman" w:eastAsia="宋体" w:cs="Times New Roman"/>
          <w:color w:val="auto"/>
          <w:sz w:val="28"/>
          <w:szCs w:val="28"/>
          <w:lang w:eastAsia="zh-CN"/>
        </w:rPr>
        <w:t>④</w:t>
      </w:r>
      <w:bookmarkEnd w:id="232"/>
      <w:bookmarkEnd w:id="233"/>
      <w:bookmarkStart w:id="234" w:name="_Toc198688271"/>
      <w:bookmarkStart w:id="235" w:name="_Toc198687851"/>
      <w:r>
        <w:rPr>
          <w:rFonts w:hint="eastAsia" w:ascii="Times New Roman" w:hAnsi="Times New Roman" w:eastAsia="宋体" w:cs="Times New Roman"/>
          <w:color w:val="auto"/>
          <w:sz w:val="28"/>
          <w:szCs w:val="28"/>
          <w:lang w:eastAsia="zh-CN"/>
        </w:rPr>
        <w:t>冷凝器的耐压等级不合适和气密性不好，容易引起泄漏，冷凝器</w:t>
      </w:r>
      <w:bookmarkEnd w:id="234"/>
      <w:bookmarkEnd w:id="235"/>
      <w:bookmarkStart w:id="236" w:name="_Toc198687852"/>
      <w:bookmarkStart w:id="237" w:name="_Toc198688272"/>
      <w:r>
        <w:rPr>
          <w:rFonts w:hint="eastAsia" w:ascii="Times New Roman" w:hAnsi="Times New Roman" w:eastAsia="宋体" w:cs="Times New Roman"/>
          <w:color w:val="auto"/>
          <w:sz w:val="28"/>
          <w:szCs w:val="28"/>
          <w:lang w:eastAsia="zh-CN"/>
        </w:rPr>
        <w:t>一旦泄漏容易引起火灾。</w:t>
      </w:r>
      <w:bookmarkEnd w:id="236"/>
      <w:bookmarkEnd w:id="237"/>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38" w:name="_Toc198688273"/>
      <w:bookmarkStart w:id="239" w:name="_Toc198687853"/>
      <w:r>
        <w:rPr>
          <w:rFonts w:hint="eastAsia" w:ascii="Times New Roman" w:hAnsi="Times New Roman" w:eastAsia="宋体" w:cs="Times New Roman"/>
          <w:color w:val="auto"/>
          <w:sz w:val="28"/>
          <w:szCs w:val="28"/>
          <w:lang w:eastAsia="zh-CN"/>
        </w:rPr>
        <w:t>⑤如温度控制不当，当糠醛温度超过230℃情况下，其一旦与氧化物</w:t>
      </w:r>
      <w:bookmarkEnd w:id="238"/>
      <w:bookmarkEnd w:id="239"/>
      <w:bookmarkStart w:id="240" w:name="_Toc198688274"/>
      <w:bookmarkStart w:id="241" w:name="_Toc198687854"/>
      <w:r>
        <w:rPr>
          <w:rFonts w:hint="eastAsia" w:ascii="Times New Roman" w:hAnsi="Times New Roman" w:eastAsia="宋体" w:cs="Times New Roman"/>
          <w:color w:val="auto"/>
          <w:sz w:val="28"/>
          <w:szCs w:val="28"/>
          <w:lang w:eastAsia="zh-CN"/>
        </w:rPr>
        <w:t>接触极易氧化裂解脱氢生成糠醛酸，乃至缩合成焦，对装置危害极大，严重时将会造成火灾、爆炸。</w:t>
      </w:r>
      <w:bookmarkEnd w:id="240"/>
      <w:bookmarkEnd w:id="241"/>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42" w:name="_Toc198687855"/>
      <w:bookmarkStart w:id="243" w:name="_Toc198688275"/>
      <w:r>
        <w:rPr>
          <w:rFonts w:hint="eastAsia" w:ascii="Times New Roman" w:hAnsi="Times New Roman" w:eastAsia="宋体" w:cs="Times New Roman"/>
          <w:color w:val="auto"/>
          <w:sz w:val="28"/>
          <w:szCs w:val="28"/>
          <w:lang w:eastAsia="zh-CN"/>
        </w:rPr>
        <w:t>⑥醛水分离器是糠醛精制的重要装置，因糠醛在分离罐中易乳化发</w:t>
      </w:r>
      <w:bookmarkEnd w:id="242"/>
      <w:bookmarkEnd w:id="243"/>
      <w:bookmarkStart w:id="244" w:name="_Toc198688276"/>
      <w:bookmarkStart w:id="245" w:name="_Toc198687856"/>
      <w:r>
        <w:rPr>
          <w:rFonts w:hint="eastAsia" w:ascii="Times New Roman" w:hAnsi="Times New Roman" w:eastAsia="宋体" w:cs="Times New Roman"/>
          <w:color w:val="auto"/>
          <w:sz w:val="28"/>
          <w:szCs w:val="28"/>
          <w:lang w:eastAsia="zh-CN"/>
        </w:rPr>
        <w:t>泡，使糠醛与水溶液界面不清，从而使操作人员判断失误，可能造成冒罐事故。</w:t>
      </w:r>
      <w:bookmarkEnd w:id="244"/>
      <w:bookmarkEnd w:id="245"/>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⑦出渣时有一定的压力，且温度较高，物料渣中含有一定的糠醛气体，因此出渣口也有发生火灾的危险性。</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⑧玉米芯在粉碎工段产生粉尘，若收尘设施失效或收尘效果不好，粉尘达到爆炸极限遇点火源可引起粉尘爆炸。</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（2）原料及产品储存</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①玉米芯露天堆场和粉碎车间内堆放玉米芯在大量堆积及受潮条件下易发酵放热、氧化放热，导致自燃或腐烂变质情况，如保管不善遇明火更易发生火灾事故。</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②生产过程中的产品精醛、半成品毛醛存放在储罐内，糠醛为可燃液体，遇到明火、高热或氧化剂接触，有引起燃烧爆炸的危险。糠醛储罐一旦发生泄漏容易引发火灾事故。</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（3）可能发生泄漏的主要设备及后果</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根据生产糠醛使用的设备，易发生泄漏设备的归纳如下：</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①管道。包括管道、法兰、阀门和接头。其泄漏的情况为产生裂口发生泄漏；②挠性连接器。它包括软管、波纹管和铰接器；③过滤器。它由过滤器本体、管道、滤网等组成；④阀门；⑤压力容器和反应器。包括生产中常用的分离器、气体洗涤器、反应釜、各种罐和容器等；⑥泵；⑦储罐。露天储存危险物质的容器，也包括与其连接的管道和辅助设备。</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一旦出现泄漏，其后果不单与物质的数量、易燃性、毒性有关，而且与泄漏物质的相态、压力、温度等状态有关。糠醛液体泄漏。一般情况下，泄漏的液体在空气中蒸发而成气体，泄漏后果与液体的性质和贮存条件（温度、压力）有关。液体泄漏后聚集在防火堤内或地势低洼处形成液池，液体由于池表面风的对流而缓慢蒸发，若遇火源就会发生火灾。</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（4）电气火灾</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电气设备、输配电线路、电气元件等由于过流、过载或出现故障时，以及电缆因绝缘不良，均可能引起火灾事故。电缆的外皮是一种可燃物，其在生产过程中受潮，接触不良，过负荷和短路等都可能导致火灾。电缆着火时产生大量烟气，CO、CO</w:t>
      </w:r>
      <w:r>
        <w:rPr>
          <w:rFonts w:hint="eastAsia" w:ascii="Times New Roman" w:hAnsi="Times New Roman" w:eastAsia="宋体" w:cs="Times New Roman"/>
          <w:color w:val="auto"/>
          <w:sz w:val="28"/>
          <w:szCs w:val="28"/>
          <w:vertAlign w:val="subscript"/>
          <w:lang w:eastAsia="zh-CN"/>
        </w:rPr>
        <w:t>2</w:t>
      </w:r>
      <w:r>
        <w:rPr>
          <w:rFonts w:hint="eastAsia" w:ascii="Times New Roman" w:hAnsi="Times New Roman" w:eastAsia="宋体" w:cs="Times New Roman"/>
          <w:color w:val="auto"/>
          <w:sz w:val="28"/>
          <w:szCs w:val="28"/>
          <w:lang w:eastAsia="zh-CN"/>
        </w:rPr>
        <w:t>含量很高，对人体有害。任何电气方面的不安全因素往往会引发火灾事故，对人员和企业造成重大的伤害和损失。</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配电间、生产车间等电器设备、电缆等如发生电气设备短路等故障，极易引起电气火灾。</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车间内电缆密布，数量较多，电缆表面绝缘材料为可燃物质，当电缆自身故障或高温物体与电缆接触时，极易引起电缆着火，且电缆着火的蔓延速度极快，易酿成火灾。</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（5）雷电火灾</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防雷装置的接闪器、引下线和接地装置如发生断裂松脱，将影响雷电通路，或土壤电阻增大，则可能在雷雨季节遭受雷击，而引起可燃物起火，导致雷电火灾事故的发生。</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（6）其他</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办公区为人员聚集场所，存在发生火灾危险，引起火灾的原因主要有：使用不合格的电线和电气产品，私自设置线路，使用中违反规定（比如用电热器，电暖器）。</w:t>
      </w:r>
    </w:p>
    <w:p>
      <w:pPr>
        <w:pStyle w:val="2"/>
        <w:rPr>
          <w:rFonts w:hint="default"/>
          <w:color w:val="FF0000"/>
          <w:lang w:val="en-US" w:eastAsia="zh-CN"/>
        </w:rPr>
      </w:pPr>
      <w:r>
        <w:rPr>
          <w:rFonts w:hint="eastAsia" w:cs="Times New Roman"/>
          <w:color w:val="FF0000"/>
          <w:sz w:val="28"/>
          <w:szCs w:val="28"/>
          <w:lang w:val="en-US" w:eastAsia="zh-CN"/>
        </w:rPr>
        <w:t>柴油发电机采用的燃料柴油，正常情况下储存在油箱内，如输油管或油箱发生泄漏遇明火或高温也有发生火灾的可能。</w:t>
      </w:r>
    </w:p>
    <w:bookmarkEnd w:id="220"/>
    <w:bookmarkEnd w:id="221"/>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bookmarkStart w:id="246" w:name="_Toc5353_WPSOffice_Level1"/>
      <w:bookmarkStart w:id="247" w:name="_Toc10775_WPSOffice_Level1"/>
      <w:bookmarkStart w:id="248" w:name="_Toc27542_WPSOffice_Level1"/>
      <w:r>
        <w:rPr>
          <w:rFonts w:hint="eastAsia" w:ascii="Times New Roman" w:hAnsi="Times New Roman" w:eastAsia="宋体" w:cs="Times New Roman"/>
          <w:color w:val="000000"/>
          <w:kern w:val="2"/>
          <w:sz w:val="28"/>
          <w:szCs w:val="28"/>
          <w:lang w:val="en-US" w:eastAsia="zh-CN" w:bidi="ar-SA"/>
        </w:rPr>
        <w:t xml:space="preserve">附件2.2.2 </w:t>
      </w:r>
      <w:bookmarkEnd w:id="246"/>
      <w:bookmarkEnd w:id="247"/>
      <w:bookmarkEnd w:id="248"/>
      <w:r>
        <w:rPr>
          <w:rFonts w:hint="eastAsia" w:ascii="Times New Roman" w:hAnsi="Times New Roman" w:eastAsia="宋体" w:cs="Times New Roman"/>
          <w:color w:val="000000"/>
          <w:kern w:val="2"/>
          <w:sz w:val="28"/>
          <w:szCs w:val="28"/>
          <w:lang w:val="en-US" w:eastAsia="zh-CN" w:bidi="ar-SA"/>
        </w:rPr>
        <w:t>压力容器爆炸</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bookmarkStart w:id="249" w:name="_Toc28467"/>
      <w:bookmarkStart w:id="250" w:name="_Toc30231"/>
      <w:bookmarkStart w:id="251" w:name="_Toc182413909"/>
      <w:bookmarkStart w:id="252" w:name="_Toc307834672"/>
      <w:bookmarkStart w:id="253" w:name="_Toc4860_WPSOffice_Level1"/>
      <w:bookmarkStart w:id="254" w:name="_Toc30912_WPSOffice_Level1"/>
      <w:bookmarkStart w:id="255" w:name="_Toc27567_WPSOffice_Level1"/>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1</w:t>
      </w:r>
      <w:r>
        <w:rPr>
          <w:rFonts w:hint="eastAsia" w:ascii="Times New Roman" w:hAnsi="Times New Roman" w:eastAsia="宋体" w:cs="Times New Roman"/>
          <w:color w:val="auto"/>
          <w:sz w:val="28"/>
          <w:szCs w:val="28"/>
          <w:lang w:eastAsia="zh-CN"/>
        </w:rPr>
        <w:t>）水解锅为压力容器，如果由于安全防护装置失效、承压元件失效</w:t>
      </w:r>
      <w:bookmarkStart w:id="256" w:name="_Toc198688270"/>
      <w:bookmarkStart w:id="257" w:name="_Toc198687850"/>
      <w:r>
        <w:rPr>
          <w:rFonts w:hint="eastAsia" w:ascii="Times New Roman" w:hAnsi="Times New Roman" w:eastAsia="宋体" w:cs="Times New Roman"/>
          <w:color w:val="auto"/>
          <w:sz w:val="28"/>
          <w:szCs w:val="28"/>
          <w:lang w:eastAsia="zh-CN"/>
        </w:rPr>
        <w:t>或者密封元件失效而导致泄漏和破裂爆炸的危险；如果水偶然进塔，而釜温和釜压又足以使大量水即刻蒸发，这样会损坏塔内件而引起泄漏；一旦发生泄漏可能引发火灾。</w:t>
      </w:r>
      <w:bookmarkEnd w:id="256"/>
      <w:bookmarkEnd w:id="257"/>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val="en-US" w:eastAsia="zh-CN"/>
        </w:rPr>
        <w:t>2</w:t>
      </w:r>
      <w:r>
        <w:rPr>
          <w:rFonts w:hint="eastAsia" w:ascii="Times New Roman" w:hAnsi="Times New Roman" w:eastAsia="宋体" w:cs="Times New Roman"/>
          <w:color w:val="auto"/>
          <w:sz w:val="28"/>
          <w:szCs w:val="28"/>
          <w:lang w:eastAsia="zh-CN"/>
        </w:rPr>
        <w:t>）锅炉为蒸汽锅炉，也可能因锅炉超压、设备严重缺陷等而发生爆炸事故。原因主要为：</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1）缺陷导致爆炸</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缺陷导致爆炸是指压力容器承受的压力并未超过额定压力，但因压力容器主要承压部件出现裂纹、严重变形、腐蚀、组织变化等情况，导致主要承压部件丧失承载能力，突然大面积破裂爆炸。</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2）锅炉超压爆炸</w:t>
      </w:r>
    </w:p>
    <w:p>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auto"/>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锅炉如果超压运行，引起锅炉超压，由于此时压力过大，单靠安全阀（或安全阀、压力表失灵）已经不能及时泄压，锅炉内介质系统的实际压力将超过其承载压力，锅炉就会爆炸，爆炸可造成设备的重大损坏和人员的伤亡。</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附件2.2.3 触电</w:t>
      </w:r>
    </w:p>
    <w:p>
      <w:pPr>
        <w:tabs>
          <w:tab w:val="left" w:pos="1276"/>
        </w:tabs>
        <w:spacing w:line="360" w:lineRule="auto"/>
        <w:ind w:firstLine="560" w:firstLineChars="200"/>
        <w:rPr>
          <w:rFonts w:hint="default" w:ascii="宋体" w:hAnsi="宋体" w:eastAsia="宋体" w:cs="宋体"/>
          <w:sz w:val="28"/>
          <w:szCs w:val="28"/>
          <w:lang w:val="en-US" w:eastAsia="zh-CN"/>
        </w:rPr>
      </w:pPr>
      <w:r>
        <w:rPr>
          <w:rFonts w:hint="eastAsia" w:ascii="宋体" w:hAnsi="宋体" w:cs="宋体"/>
          <w:sz w:val="28"/>
          <w:szCs w:val="28"/>
          <w:lang w:val="en-US" w:eastAsia="zh-CN"/>
        </w:rPr>
        <w:t>该企业</w:t>
      </w:r>
      <w:r>
        <w:rPr>
          <w:rFonts w:hint="eastAsia" w:ascii="宋体" w:hAnsi="宋体" w:eastAsia="宋体" w:cs="宋体"/>
          <w:sz w:val="28"/>
          <w:szCs w:val="28"/>
          <w:lang w:val="en-US" w:eastAsia="zh-CN"/>
        </w:rPr>
        <w:t>触电</w:t>
      </w:r>
      <w:r>
        <w:rPr>
          <w:rFonts w:hint="default" w:ascii="宋体" w:hAnsi="宋体" w:eastAsia="宋体" w:cs="宋体"/>
          <w:sz w:val="28"/>
          <w:szCs w:val="28"/>
          <w:lang w:val="en-US" w:eastAsia="zh-CN"/>
        </w:rPr>
        <w:t>危险因素</w:t>
      </w:r>
      <w:r>
        <w:rPr>
          <w:rFonts w:hint="eastAsia" w:ascii="宋体" w:hAnsi="宋体" w:eastAsia="宋体" w:cs="宋体"/>
          <w:sz w:val="28"/>
          <w:szCs w:val="28"/>
          <w:lang w:val="en-US" w:eastAsia="zh-CN"/>
        </w:rPr>
        <w:t>包括：电气伤害、</w:t>
      </w:r>
      <w:r>
        <w:rPr>
          <w:rFonts w:hint="default" w:ascii="宋体" w:hAnsi="宋体" w:eastAsia="宋体" w:cs="宋体"/>
          <w:sz w:val="28"/>
          <w:szCs w:val="28"/>
          <w:lang w:val="en-US" w:eastAsia="zh-CN"/>
        </w:rPr>
        <w:t>雷</w:t>
      </w:r>
      <w:r>
        <w:rPr>
          <w:rFonts w:hint="eastAsia" w:ascii="宋体" w:hAnsi="宋体" w:eastAsia="宋体" w:cs="宋体"/>
          <w:sz w:val="28"/>
          <w:szCs w:val="28"/>
          <w:lang w:val="en-US" w:eastAsia="zh-CN"/>
        </w:rPr>
        <w:t>击伤害及静电伤害。</w:t>
      </w:r>
    </w:p>
    <w:p>
      <w:pPr>
        <w:tabs>
          <w:tab w:val="left" w:pos="1276"/>
        </w:tabs>
        <w:spacing w:line="360" w:lineRule="auto"/>
        <w:ind w:firstLine="560" w:firstLineChars="200"/>
        <w:rPr>
          <w:rFonts w:hint="eastAsia" w:ascii="宋体" w:hAnsi="宋体" w:eastAsia="宋体" w:cs="宋体"/>
          <w:sz w:val="28"/>
          <w:szCs w:val="28"/>
          <w:lang w:val="zh-CN" w:eastAsia="zh-CN"/>
        </w:rPr>
      </w:pPr>
      <w:bookmarkStart w:id="258" w:name="_Toc198688278"/>
      <w:bookmarkStart w:id="259" w:name="_Toc198687858"/>
      <w:r>
        <w:rPr>
          <w:rFonts w:hint="eastAsia" w:ascii="宋体" w:hAnsi="宋体" w:eastAsia="宋体" w:cs="宋体"/>
          <w:sz w:val="28"/>
          <w:szCs w:val="28"/>
          <w:lang w:val="zh-CN" w:eastAsia="zh-CN"/>
        </w:rPr>
        <w:t>生产装置中有物料泵、分离器、冷凝器、粉碎机、皮带输送机等电器设备，若电器设备发生事故或电器安装不规范、缺少接地或接零，或接地、接零损坏失效，会发生触电伤害事故。沿墙壁敷设或沿地面铺设的临时线路无保护套或绝缘损坏，接触人体会发生触电事故。因装置用电为低压电源，触电均表现为低压触电。配电室、生产车间等为危险较大的场所。</w:t>
      </w:r>
    </w:p>
    <w:p>
      <w:pPr>
        <w:tabs>
          <w:tab w:val="left" w:pos="1276"/>
        </w:tabs>
        <w:spacing w:line="360" w:lineRule="auto"/>
        <w:ind w:firstLine="560" w:firstLineChars="200"/>
        <w:rPr>
          <w:rFonts w:hint="eastAsia" w:ascii="宋体" w:hAnsi="宋体" w:eastAsia="宋体" w:cs="宋体"/>
          <w:sz w:val="28"/>
          <w:szCs w:val="28"/>
          <w:lang w:val="zh-CN" w:eastAsia="zh-CN"/>
        </w:rPr>
      </w:pPr>
      <w:r>
        <w:rPr>
          <w:rFonts w:hint="eastAsia" w:ascii="宋体" w:hAnsi="宋体" w:eastAsia="宋体" w:cs="宋体"/>
          <w:sz w:val="28"/>
          <w:szCs w:val="28"/>
          <w:lang w:val="zh-CN" w:eastAsia="zh-CN"/>
        </w:rPr>
        <w:t>缺少避雷设施或避雷设施接地不良、接地电阻过大，都可能遭到雷击和雷电感应放电。因此对生产车间、硫酸储罐、糠醛储罐等应设置避雷设施，并定期检测，避免雷电感应造成的损失。</w:t>
      </w:r>
      <w:bookmarkEnd w:id="258"/>
      <w:bookmarkEnd w:id="259"/>
    </w:p>
    <w:p>
      <w:pPr>
        <w:tabs>
          <w:tab w:val="left" w:pos="1276"/>
        </w:tabs>
        <w:spacing w:line="360" w:lineRule="auto"/>
        <w:ind w:firstLine="560" w:firstLineChars="200"/>
        <w:rPr>
          <w:rFonts w:hint="eastAsia" w:ascii="宋体" w:hAnsi="宋体" w:eastAsia="宋体" w:cs="宋体"/>
          <w:sz w:val="28"/>
          <w:szCs w:val="28"/>
          <w:lang w:val="zh-CN" w:eastAsia="zh-CN"/>
        </w:rPr>
      </w:pPr>
      <w:r>
        <w:rPr>
          <w:rFonts w:hint="eastAsia" w:ascii="宋体" w:hAnsi="宋体" w:eastAsia="宋体" w:cs="宋体"/>
          <w:sz w:val="28"/>
          <w:szCs w:val="28"/>
          <w:lang w:val="zh-CN" w:eastAsia="zh-CN"/>
        </w:rPr>
        <w:t>在有爆炸和火灾的场所，静电放电火花可能造成爆炸和火灾事故；人体因受到静电电击的刺激，可能导致二次事故，如坠落、摔倒等；对静电电击的恐惧会影响工作效率。</w:t>
      </w:r>
    </w:p>
    <w:p>
      <w:pPr>
        <w:tabs>
          <w:tab w:val="left" w:pos="1276"/>
        </w:tabs>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zh-CN" w:eastAsia="zh-CN"/>
        </w:rPr>
        <w:t>从静电防护的角度分析，静电危险因素的产生原因主要有：静电接地、跨接装置不完善；人体静电防护不符合要求等产生静电火花。</w:t>
      </w:r>
    </w:p>
    <w:bookmarkEnd w:id="249"/>
    <w:bookmarkEnd w:id="250"/>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 xml:space="preserve">附件2.2.4 </w:t>
      </w:r>
      <w:bookmarkEnd w:id="251"/>
      <w:bookmarkEnd w:id="252"/>
      <w:r>
        <w:rPr>
          <w:rFonts w:hint="eastAsia" w:ascii="Times New Roman" w:hAnsi="Times New Roman" w:eastAsia="宋体" w:cs="Times New Roman"/>
          <w:color w:val="000000"/>
          <w:kern w:val="2"/>
          <w:sz w:val="28"/>
          <w:szCs w:val="28"/>
          <w:lang w:val="en-US" w:eastAsia="zh-CN" w:bidi="ar-SA"/>
        </w:rPr>
        <w:t>机械伤害</w:t>
      </w:r>
      <w:bookmarkEnd w:id="253"/>
      <w:bookmarkEnd w:id="254"/>
      <w:bookmarkEnd w:id="255"/>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bookmarkStart w:id="260" w:name="_Toc182413910"/>
      <w:bookmarkStart w:id="261" w:name="_Toc307834673"/>
      <w:bookmarkStart w:id="262" w:name="_Toc4436_WPSOffice_Level1"/>
      <w:bookmarkStart w:id="263" w:name="_Toc16191_WPSOffice_Level1"/>
      <w:r>
        <w:rPr>
          <w:rFonts w:hint="default" w:ascii="Times New Roman" w:hAnsi="Times New Roman" w:eastAsia="宋体" w:cs="Times New Roman"/>
          <w:sz w:val="28"/>
          <w:szCs w:val="28"/>
          <w:lang w:val="zh-CN" w:eastAsia="zh-CN"/>
        </w:rPr>
        <w:t>企业在生产过程中使用</w:t>
      </w:r>
      <w:r>
        <w:rPr>
          <w:rFonts w:hint="default" w:ascii="Times New Roman" w:hAnsi="Times New Roman" w:cs="Times New Roman"/>
          <w:sz w:val="28"/>
          <w:szCs w:val="28"/>
        </w:rPr>
        <w:t>皮带输送机、机泵和电机</w:t>
      </w:r>
      <w:r>
        <w:rPr>
          <w:rFonts w:hint="default" w:ascii="Times New Roman" w:hAnsi="Times New Roman" w:eastAsia="宋体" w:cs="Times New Roman"/>
          <w:sz w:val="28"/>
          <w:szCs w:val="28"/>
          <w:lang w:val="zh-CN" w:eastAsia="zh-CN"/>
        </w:rPr>
        <w:t>等，如防护不好或防护设施损坏、违章操作、或在事故及检修等状况下，均会造成挤碾、绞伤、刺割等机械伤害事故的发生。常见机械伤害有：与运动零部件接触伤害如绞缠、卷咬、冲压，飞出物的打击伤害、刮碰、撞击伤害、坠落、磕绊与跌伤。</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造成机械伤害事故的主要原因有：</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（1）缺乏安全装置。</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人手直接频繁接触的机械，没有完好的紧急制动装置，或者该制动钮位置不能使操作者在机械作业活动范围内随时可触及到。此外，有的机械接近地面的联轴节、皮带轮、飞轮等易伤害人体部位没有完好防护装置；还有的投料口等部位缺护栏及盖板，无警示牌，人一旦疏忽误接触这些部位，就会造成事故。</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（2）检修、检查机械时忽视安全措施。</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如人进行设备检修、检查作业，不切断电源，未挂不准合闸警示牌，未设专人监护等措施而造成严重后果。也有的因当时受定时电源开关作用或发生临时停电等因素误判而造成事故。也有的虽然对设备断电，但因未等至设备惯性运转彻底停住就下手工作，同样造成严重后果。</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（3）电源开关布局不合理。</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一种是有了紧急情况不能立即停车；另一种是好几台机械开关设在一起，极易造成误开机械引发严重后果。</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（4）自制或任意改造机械设备，不符合安全要求。</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（5）任意进入机械运行</w:t>
      </w:r>
      <w:bookmarkStart w:id="264" w:name="2"/>
      <w:bookmarkEnd w:id="264"/>
      <w:r>
        <w:rPr>
          <w:rFonts w:hint="default" w:ascii="Times New Roman" w:hAnsi="Times New Roman" w:eastAsia="宋体" w:cs="Times New Roman"/>
          <w:sz w:val="28"/>
          <w:szCs w:val="28"/>
          <w:lang w:val="zh-CN" w:eastAsia="zh-CN"/>
        </w:rPr>
        <w:t>危险作业区(采样、干活、借道、拣物等)。</w:t>
      </w:r>
    </w:p>
    <w:p>
      <w:pPr>
        <w:tabs>
          <w:tab w:val="left" w:pos="1276"/>
        </w:tabs>
        <w:spacing w:line="360" w:lineRule="auto"/>
        <w:ind w:firstLine="560" w:firstLineChars="200"/>
        <w:rPr>
          <w:rFonts w:hint="default" w:ascii="Times New Roman" w:hAnsi="Times New Roman" w:eastAsia="宋体" w:cs="Times New Roman"/>
          <w:sz w:val="28"/>
          <w:szCs w:val="28"/>
          <w:lang w:val="zh-CN" w:eastAsia="zh-CN"/>
        </w:rPr>
      </w:pPr>
      <w:r>
        <w:rPr>
          <w:rFonts w:hint="default" w:ascii="Times New Roman" w:hAnsi="Times New Roman" w:eastAsia="宋体" w:cs="Times New Roman"/>
          <w:sz w:val="28"/>
          <w:szCs w:val="28"/>
          <w:lang w:val="zh-CN" w:eastAsia="zh-CN"/>
        </w:rPr>
        <w:t>（6）不具操作素质的人员上岗或其他人员乱动机械。</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bookmarkStart w:id="265" w:name="_Toc10775_WPSOffice_Level2"/>
      <w:r>
        <w:rPr>
          <w:rFonts w:hint="eastAsia" w:ascii="Times New Roman" w:hAnsi="Times New Roman" w:eastAsia="宋体" w:cs="Times New Roman"/>
          <w:color w:val="000000"/>
          <w:kern w:val="2"/>
          <w:sz w:val="28"/>
          <w:szCs w:val="28"/>
          <w:lang w:val="en-US" w:eastAsia="zh-CN" w:bidi="ar-SA"/>
        </w:rPr>
        <w:t xml:space="preserve">附件2.2.5 </w:t>
      </w:r>
      <w:bookmarkEnd w:id="260"/>
      <w:bookmarkEnd w:id="261"/>
      <w:r>
        <w:rPr>
          <w:rFonts w:hint="eastAsia" w:ascii="Times New Roman" w:hAnsi="Times New Roman" w:eastAsia="宋体" w:cs="Times New Roman"/>
          <w:color w:val="000000"/>
          <w:kern w:val="2"/>
          <w:sz w:val="28"/>
          <w:szCs w:val="28"/>
          <w:lang w:val="en-US" w:eastAsia="zh-CN" w:bidi="ar-SA"/>
        </w:rPr>
        <w:t>中毒和窒息</w:t>
      </w:r>
      <w:bookmarkEnd w:id="262"/>
      <w:bookmarkEnd w:id="263"/>
      <w:bookmarkEnd w:id="265"/>
    </w:p>
    <w:p>
      <w:pPr>
        <w:snapToGrid w:val="0"/>
        <w:spacing w:line="360" w:lineRule="auto"/>
        <w:ind w:firstLine="560" w:firstLineChars="200"/>
        <w:rPr>
          <w:rFonts w:hint="eastAsia" w:ascii="宋体" w:hAnsi="宋体" w:eastAsia="宋体" w:cs="宋体"/>
          <w:sz w:val="28"/>
          <w:szCs w:val="28"/>
          <w:lang w:val="zh-CN" w:eastAsia="zh-CN"/>
        </w:rPr>
      </w:pPr>
      <w:bookmarkStart w:id="266" w:name="_Toc27777_WPSOffice_Level1"/>
      <w:bookmarkStart w:id="267" w:name="_Toc307834676"/>
      <w:bookmarkStart w:id="268" w:name="_Toc12776_WPSOffice_Level1"/>
      <w:bookmarkStart w:id="269" w:name="_Toc3210_WPSOffice_Level1"/>
      <w:bookmarkStart w:id="270" w:name="_Toc182413913"/>
      <w:r>
        <w:rPr>
          <w:rFonts w:hint="eastAsia" w:ascii="宋体" w:hAnsi="宋体" w:eastAsia="宋体" w:cs="Times New Roman"/>
          <w:sz w:val="28"/>
          <w:szCs w:val="28"/>
        </w:rPr>
        <w:t>生产中使用的硫酸、产品糠醛属于有毒物质，糠醛受高热分解放出有毒气体，其蒸汽有强烈的刺激性，并有麻醉作用，动物吸入、摄入或者经皮肤吸收，均可引起急性中毒</w:t>
      </w:r>
      <w:r>
        <w:rPr>
          <w:rFonts w:hint="eastAsia" w:ascii="宋体" w:hAnsi="宋体" w:eastAsia="宋体" w:cs="宋体"/>
          <w:sz w:val="28"/>
          <w:szCs w:val="28"/>
          <w:lang w:val="zh-CN" w:eastAsia="zh-CN"/>
        </w:rPr>
        <w:t>。</w:t>
      </w:r>
    </w:p>
    <w:p>
      <w:pPr>
        <w:autoSpaceDE w:val="0"/>
        <w:autoSpaceDN w:val="0"/>
        <w:adjustRightInd w:val="0"/>
        <w:spacing w:line="360" w:lineRule="auto"/>
        <w:ind w:firstLine="560"/>
        <w:jc w:val="left"/>
        <w:rPr>
          <w:rFonts w:hint="eastAsia" w:ascii="宋体" w:hAnsi="宋体" w:eastAsia="宋体" w:cs="宋体"/>
          <w:sz w:val="28"/>
          <w:szCs w:val="28"/>
          <w:lang w:val="zh-CN" w:eastAsia="zh-CN"/>
        </w:rPr>
      </w:pPr>
      <w:r>
        <w:rPr>
          <w:rFonts w:hint="eastAsia" w:ascii="宋体" w:hAnsi="宋体" w:cs="宋体"/>
          <w:sz w:val="28"/>
          <w:szCs w:val="28"/>
          <w:lang w:val="zh-CN" w:eastAsia="zh-CN"/>
        </w:rPr>
        <w:t>该企业</w:t>
      </w:r>
      <w:r>
        <w:rPr>
          <w:rFonts w:hint="eastAsia" w:ascii="宋体" w:hAnsi="宋体" w:eastAsia="宋体" w:cs="宋体"/>
          <w:sz w:val="28"/>
          <w:szCs w:val="28"/>
          <w:lang w:val="zh-CN" w:eastAsia="zh-CN"/>
        </w:rPr>
        <w:t>深水井和</w:t>
      </w:r>
      <w:r>
        <w:rPr>
          <w:rFonts w:hint="eastAsia" w:ascii="宋体" w:hAnsi="宋体" w:eastAsia="宋体" w:cs="Times New Roman"/>
          <w:sz w:val="28"/>
          <w:szCs w:val="28"/>
          <w:lang w:eastAsia="zh-CN"/>
        </w:rPr>
        <w:t>进入储罐检维修时</w:t>
      </w:r>
      <w:r>
        <w:rPr>
          <w:rFonts w:hint="eastAsia" w:ascii="宋体" w:hAnsi="宋体" w:eastAsia="宋体" w:cs="Times New Roman"/>
          <w:sz w:val="28"/>
          <w:szCs w:val="28"/>
        </w:rPr>
        <w:t>属于有限空间作业。</w:t>
      </w:r>
      <w:r>
        <w:rPr>
          <w:rFonts w:ascii="宋体" w:hAnsi="宋体" w:eastAsia="宋体" w:cs="Times New Roman"/>
          <w:sz w:val="28"/>
          <w:szCs w:val="28"/>
        </w:rPr>
        <w:t>在</w:t>
      </w:r>
      <w:r>
        <w:rPr>
          <w:rFonts w:hint="eastAsia" w:ascii="宋体" w:hAnsi="宋体" w:eastAsia="宋体" w:cs="Times New Roman"/>
          <w:sz w:val="28"/>
          <w:szCs w:val="28"/>
        </w:rPr>
        <w:t>有限空间内部检修过程中</w:t>
      </w:r>
      <w:r>
        <w:rPr>
          <w:rFonts w:ascii="宋体" w:hAnsi="宋体" w:eastAsia="宋体" w:cs="Times New Roman"/>
          <w:sz w:val="28"/>
          <w:szCs w:val="28"/>
        </w:rPr>
        <w:t>，氧浓度过低会引起</w:t>
      </w:r>
      <w:r>
        <w:rPr>
          <w:rFonts w:hint="eastAsia" w:ascii="宋体" w:hAnsi="宋体" w:eastAsia="宋体" w:cs="Times New Roman"/>
          <w:sz w:val="28"/>
          <w:szCs w:val="28"/>
          <w:lang w:eastAsia="zh-CN"/>
        </w:rPr>
        <w:t>操作人员</w:t>
      </w:r>
      <w:r>
        <w:rPr>
          <w:rFonts w:ascii="宋体" w:hAnsi="宋体" w:eastAsia="宋体" w:cs="Times New Roman"/>
          <w:sz w:val="28"/>
          <w:szCs w:val="28"/>
        </w:rPr>
        <w:t>缺氧</w:t>
      </w:r>
      <w:r>
        <w:rPr>
          <w:rFonts w:hint="eastAsia" w:ascii="宋体" w:hAnsi="宋体" w:eastAsia="宋体" w:cs="Times New Roman"/>
          <w:sz w:val="28"/>
          <w:szCs w:val="28"/>
          <w:lang w:eastAsia="zh-CN"/>
        </w:rPr>
        <w:t>窒息</w:t>
      </w:r>
      <w:r>
        <w:rPr>
          <w:rFonts w:ascii="宋体" w:hAnsi="宋体" w:eastAsia="宋体" w:cs="Times New Roman"/>
          <w:sz w:val="28"/>
          <w:szCs w:val="28"/>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附件2.2.6 车辆伤害</w:t>
      </w:r>
      <w:bookmarkEnd w:id="266"/>
      <w:bookmarkEnd w:id="267"/>
      <w:bookmarkEnd w:id="268"/>
      <w:bookmarkEnd w:id="269"/>
      <w:bookmarkEnd w:id="270"/>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r>
        <w:rPr>
          <w:rFonts w:hint="eastAsia" w:ascii="Times New Roman" w:hAnsi="Times New Roman" w:eastAsia="宋体" w:cs="Times New Roman"/>
          <w:color w:val="000000"/>
          <w:kern w:val="2"/>
          <w:sz w:val="28"/>
          <w:szCs w:val="28"/>
          <w:lang w:val="zh-CN" w:eastAsia="zh-CN" w:bidi="ar-SA"/>
        </w:rPr>
        <w:t>车辆伤害是指机动车辆在行驶中引起的人体伤害或载运物体发生倾翻等事故。</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r>
        <w:rPr>
          <w:rFonts w:hint="eastAsia" w:cs="Times New Roman"/>
          <w:color w:val="000000"/>
          <w:kern w:val="2"/>
          <w:sz w:val="28"/>
          <w:szCs w:val="28"/>
          <w:lang w:val="en-US" w:eastAsia="zh-CN" w:bidi="ar-SA"/>
        </w:rPr>
        <w:t>该企业</w:t>
      </w:r>
      <w:r>
        <w:rPr>
          <w:rFonts w:hint="eastAsia" w:ascii="宋体" w:hAnsi="宋体"/>
          <w:sz w:val="28"/>
          <w:szCs w:val="28"/>
        </w:rPr>
        <w:t>玉米芯运输使用铲车</w:t>
      </w:r>
      <w:r>
        <w:rPr>
          <w:rFonts w:hint="eastAsia" w:ascii="Times New Roman" w:hAnsi="Times New Roman" w:eastAsia="宋体" w:cs="Times New Roman"/>
          <w:color w:val="000000"/>
          <w:kern w:val="2"/>
          <w:sz w:val="28"/>
          <w:szCs w:val="28"/>
          <w:lang w:val="zh-CN" w:eastAsia="zh-CN" w:bidi="ar-SA"/>
        </w:rPr>
        <w:t>，可能由于作业空间有限、视野不开阔、驾驶员未取得驾驶执照违规驾驶、驾驶员缺乏安全技术知识的教育、驾驶员违规操作等原因，均可能导致发生挤伤、撞伤、轧伤等车辆伤害事故。</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附件2.2.7 物体打击</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r>
        <w:rPr>
          <w:rFonts w:hint="eastAsia" w:ascii="Times New Roman" w:hAnsi="Times New Roman" w:eastAsia="宋体" w:cs="Times New Roman"/>
          <w:color w:val="000000"/>
          <w:kern w:val="2"/>
          <w:sz w:val="28"/>
          <w:szCs w:val="28"/>
          <w:lang w:val="zh-CN" w:eastAsia="zh-CN" w:bidi="ar-SA"/>
        </w:rPr>
        <w:t>物体打击指物体在重力或其他外力的作用下产生运动，打击人体造成人身伤亡事故。</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zh-CN" w:eastAsia="zh-CN" w:bidi="ar-SA"/>
        </w:rPr>
        <w:t>物体打击事故通常作业过程中大多是两人或两人以上的众人多工种或立体交叉作业过程中由于配合不当所致，且通常是不但伤害自己还常危及他人。如：对设备进行检修作业或巡检时，高处作业时</w:t>
      </w:r>
      <w:r>
        <w:rPr>
          <w:rFonts w:hint="eastAsia" w:ascii="Times New Roman" w:hAnsi="Times New Roman" w:eastAsia="宋体" w:cs="Times New Roman"/>
          <w:color w:val="000000"/>
          <w:kern w:val="2"/>
          <w:sz w:val="28"/>
          <w:szCs w:val="28"/>
          <w:lang w:val="en-US" w:eastAsia="zh-CN" w:bidi="ar-SA"/>
        </w:rPr>
        <w:t xml:space="preserve"> </w:t>
      </w:r>
      <w:r>
        <w:rPr>
          <w:rFonts w:hint="eastAsia" w:ascii="Times New Roman" w:hAnsi="Times New Roman" w:eastAsia="宋体" w:cs="Times New Roman"/>
          <w:color w:val="000000"/>
          <w:kern w:val="2"/>
          <w:sz w:val="28"/>
          <w:szCs w:val="28"/>
          <w:lang w:val="zh-CN" w:eastAsia="zh-CN" w:bidi="ar-SA"/>
        </w:rPr>
        <w:t>作业人员从高处随意往下任意乱抛物体；或在检修作业过程中工器具脱落飞出；或在检修作业过程中物体受到打击后，边、角飞出。或正在转动的机器设备另部件因安装不牢而飞出，从而造成对作业人员或其周围人员的伤害。或是搬运桶装原料产品时不慎脱手滚落等砸伤人员。</w:t>
      </w:r>
      <w:bookmarkStart w:id="271" w:name="_Toc6755_WPSOffice_Level1"/>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 xml:space="preserve">附件2.2.8 </w:t>
      </w:r>
      <w:bookmarkEnd w:id="271"/>
      <w:r>
        <w:rPr>
          <w:rFonts w:hint="eastAsia" w:ascii="Times New Roman" w:hAnsi="Times New Roman" w:eastAsia="宋体" w:cs="Times New Roman"/>
          <w:color w:val="000000"/>
          <w:kern w:val="2"/>
          <w:sz w:val="28"/>
          <w:szCs w:val="28"/>
          <w:lang w:val="en-US" w:eastAsia="zh-CN" w:bidi="ar-SA"/>
        </w:rPr>
        <w:t>高处坠落</w:t>
      </w:r>
    </w:p>
    <w:p>
      <w:pPr>
        <w:spacing w:line="360" w:lineRule="auto"/>
        <w:ind w:firstLine="560" w:firstLineChars="200"/>
        <w:rPr>
          <w:rFonts w:hint="default" w:ascii="Times New Roman" w:hAnsi="Times New Roman" w:eastAsia="宋体" w:cs="Times New Roman"/>
          <w:color w:val="000000"/>
          <w:kern w:val="2"/>
          <w:sz w:val="28"/>
          <w:szCs w:val="28"/>
          <w:lang w:val="zh-CN" w:eastAsia="zh-CN" w:bidi="ar-SA"/>
        </w:rPr>
      </w:pPr>
      <w:r>
        <w:rPr>
          <w:rFonts w:hint="default" w:ascii="Times New Roman" w:hAnsi="Times New Roman" w:eastAsia="宋体" w:cs="Times New Roman"/>
          <w:color w:val="000000"/>
          <w:kern w:val="2"/>
          <w:sz w:val="28"/>
          <w:szCs w:val="28"/>
          <w:lang w:val="zh-CN" w:eastAsia="zh-CN" w:bidi="ar-SA"/>
        </w:rPr>
        <w:t>根据《高处作业分级》的规定，凡是坠落高度于基准面2m以上（含2m）有可能坠落的高处进行的作业均称为高处作业。</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r>
        <w:rPr>
          <w:rFonts w:hint="eastAsia" w:ascii="Times New Roman" w:hAnsi="Times New Roman" w:eastAsia="宋体" w:cs="Times New Roman"/>
          <w:color w:val="000000"/>
          <w:kern w:val="2"/>
          <w:sz w:val="28"/>
          <w:szCs w:val="28"/>
          <w:lang w:val="zh-CN" w:eastAsia="zh-CN" w:bidi="ar-SA"/>
        </w:rPr>
        <w:t>生产装置中有作业平台、爬梯、物料输送机等，操作人员在生产操作和检修作业中，均有高处坠落危险。</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r>
        <w:rPr>
          <w:rFonts w:hint="eastAsia" w:ascii="Times New Roman" w:hAnsi="Times New Roman" w:eastAsia="宋体" w:cs="Times New Roman"/>
          <w:color w:val="000000"/>
          <w:kern w:val="2"/>
          <w:sz w:val="28"/>
          <w:szCs w:val="28"/>
          <w:lang w:val="zh-CN" w:eastAsia="zh-CN" w:bidi="ar-SA"/>
        </w:rPr>
        <w:t>人员如在车间外墙、屋顶维护时，当无防护栏杆或个人防护设施佩戴不齐全或安全标志缺失，则会有高处坠落的危险。</w:t>
      </w:r>
    </w:p>
    <w:p>
      <w:pPr>
        <w:autoSpaceDE w:val="0"/>
        <w:autoSpaceDN w:val="0"/>
        <w:adjustRightInd w:val="0"/>
        <w:spacing w:line="360" w:lineRule="auto"/>
        <w:jc w:val="left"/>
        <w:rPr>
          <w:rFonts w:hint="eastAsia" w:ascii="宋体" w:hAnsi="宋体" w:eastAsia="宋体" w:cs="Times New Roman"/>
          <w:sz w:val="28"/>
          <w:szCs w:val="28"/>
          <w:lang w:eastAsia="zh-CN"/>
        </w:rPr>
      </w:pPr>
      <w:r>
        <w:rPr>
          <w:rFonts w:hint="eastAsia" w:ascii="Times New Roman" w:hAnsi="Times New Roman" w:eastAsia="宋体" w:cs="Times New Roman"/>
          <w:color w:val="000000"/>
          <w:kern w:val="2"/>
          <w:sz w:val="28"/>
          <w:szCs w:val="28"/>
          <w:lang w:val="en-US" w:eastAsia="zh-CN" w:bidi="ar-SA"/>
        </w:rPr>
        <w:t xml:space="preserve">附件2.2.9 </w:t>
      </w:r>
      <w:r>
        <w:rPr>
          <w:rFonts w:hint="eastAsia" w:ascii="宋体" w:hAnsi="宋体" w:eastAsia="宋体" w:cs="Times New Roman"/>
          <w:sz w:val="28"/>
          <w:szCs w:val="28"/>
          <w:lang w:eastAsia="zh-CN"/>
        </w:rPr>
        <w:t>淹溺</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cs="Times New Roman"/>
          <w:color w:val="000000"/>
          <w:kern w:val="2"/>
          <w:sz w:val="28"/>
          <w:szCs w:val="28"/>
          <w:lang w:val="zh-CN" w:eastAsia="zh-CN" w:bidi="ar-SA"/>
        </w:rPr>
        <w:t>该企业</w:t>
      </w:r>
      <w:r>
        <w:rPr>
          <w:rFonts w:hint="default" w:ascii="Times New Roman" w:hAnsi="Times New Roman" w:eastAsia="宋体" w:cs="Times New Roman"/>
          <w:color w:val="000000"/>
          <w:kern w:val="2"/>
          <w:sz w:val="28"/>
          <w:szCs w:val="28"/>
          <w:lang w:val="zh-CN" w:eastAsia="zh-CN" w:bidi="ar-SA"/>
        </w:rPr>
        <w:t>设有消防水池</w:t>
      </w:r>
      <w:r>
        <w:rPr>
          <w:rFonts w:hint="eastAsia" w:ascii="Times New Roman" w:hAnsi="Times New Roman" w:eastAsia="宋体" w:cs="Times New Roman"/>
          <w:color w:val="000000"/>
          <w:kern w:val="2"/>
          <w:sz w:val="28"/>
          <w:szCs w:val="28"/>
          <w:lang w:val="zh-CN" w:eastAsia="zh-CN" w:bidi="ar-SA"/>
        </w:rPr>
        <w:t>、事故水池</w:t>
      </w:r>
      <w:r>
        <w:rPr>
          <w:rFonts w:hint="default" w:ascii="Times New Roman" w:hAnsi="Times New Roman" w:eastAsia="宋体" w:cs="Times New Roman"/>
          <w:color w:val="000000"/>
          <w:kern w:val="2"/>
          <w:sz w:val="28"/>
          <w:szCs w:val="28"/>
          <w:lang w:val="zh-CN" w:eastAsia="zh-CN" w:bidi="ar-SA"/>
        </w:rPr>
        <w:t>及深水井等，</w:t>
      </w:r>
      <w:r>
        <w:rPr>
          <w:rFonts w:hint="eastAsia" w:ascii="Times New Roman" w:hAnsi="Times New Roman" w:eastAsia="宋体" w:cs="Times New Roman"/>
          <w:color w:val="000000"/>
          <w:kern w:val="2"/>
          <w:sz w:val="28"/>
          <w:szCs w:val="28"/>
          <w:lang w:val="zh-CN" w:eastAsia="zh-CN" w:bidi="ar-SA"/>
        </w:rPr>
        <w:t>工作人员在池边进行巡视等工作，如因缺少防护设施、应急设施或防护设施存在缺陷，或工作人员的不安全行为都可能跌入池中造成淹溺事故。</w:t>
      </w:r>
    </w:p>
    <w:p>
      <w:pPr>
        <w:autoSpaceDE w:val="0"/>
        <w:autoSpaceDN w:val="0"/>
        <w:adjustRightInd w:val="0"/>
        <w:spacing w:line="360" w:lineRule="auto"/>
        <w:jc w:val="left"/>
        <w:rPr>
          <w:rFonts w:hint="eastAsia" w:ascii="宋体" w:hAnsi="宋体" w:eastAsia="宋体" w:cs="Times New Roman"/>
          <w:sz w:val="28"/>
          <w:szCs w:val="28"/>
          <w:lang w:eastAsia="zh-CN"/>
        </w:rPr>
      </w:pPr>
      <w:r>
        <w:rPr>
          <w:rFonts w:hint="eastAsia" w:ascii="Times New Roman" w:hAnsi="Times New Roman" w:eastAsia="宋体" w:cs="Times New Roman"/>
          <w:color w:val="000000"/>
          <w:kern w:val="2"/>
          <w:sz w:val="28"/>
          <w:szCs w:val="28"/>
          <w:lang w:val="en-US" w:eastAsia="zh-CN" w:bidi="ar-SA"/>
        </w:rPr>
        <w:t xml:space="preserve">附件2.2.10 </w:t>
      </w:r>
      <w:r>
        <w:rPr>
          <w:rFonts w:hint="eastAsia" w:ascii="宋体" w:hAnsi="宋体" w:eastAsia="宋体" w:cs="Times New Roman"/>
          <w:sz w:val="28"/>
          <w:szCs w:val="28"/>
          <w:lang w:eastAsia="zh-CN"/>
        </w:rPr>
        <w:t>灼烫</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zh-CN" w:eastAsia="zh-CN" w:bidi="ar-SA"/>
        </w:rPr>
        <w:t>灼烫是指火焰烧伤、高温物体烫伤、化学灼伤（酸、碱、盐、有机物引起的体内外的灼伤）、物理灼伤（光、放射性物外的灼伤）。不包括电灼伤和火灾引起的烧伤。</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（1）高温烫伤</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zh-CN" w:eastAsia="zh-CN" w:bidi="ar-SA"/>
        </w:rPr>
        <w:t>糠醛生产使用蒸汽，且水解锅等设备反应温度较高，这些高温设备，蒸汽管道、承压部件等部位可能由于蒸汽（气）泄漏而造成工作人员的烫伤；巡检人员不小心接触高热管道或热力设备而引起烫伤。</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（2）化学灼伤</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r>
        <w:rPr>
          <w:rFonts w:hint="eastAsia" w:ascii="Times New Roman" w:hAnsi="Times New Roman" w:eastAsia="宋体" w:cs="Times New Roman"/>
          <w:color w:val="000000"/>
          <w:kern w:val="2"/>
          <w:sz w:val="28"/>
          <w:szCs w:val="28"/>
          <w:lang w:val="zh-CN" w:eastAsia="zh-CN" w:bidi="ar-SA"/>
        </w:rPr>
        <w:t>硫酸是酸性腐蚀品，对皮肤、粘膜等组织有强烈的刺激和腐蚀作用。对眼睛可引起结膜炎、水肿、角膜混浊，以致失明；引起呼吸道刺激症状，重者发生呼吸困难和肺水肿；高浓度引起喉痉挛或声门水肿而死亡。碳酸钠具有刺激性和腐蚀性，直接接触可引起皮肤和眼灼伤。</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附件2.2.11 噪声和振动</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bookmarkStart w:id="272" w:name="_Toc28260_WPSOffice_Level1"/>
      <w:bookmarkStart w:id="273" w:name="_Toc27437_WPSOffice_Level1"/>
      <w:bookmarkStart w:id="274" w:name="_Toc17842_WPSOffice_Level1"/>
      <w:r>
        <w:rPr>
          <w:rFonts w:hint="eastAsia" w:ascii="Times New Roman" w:hAnsi="Times New Roman" w:eastAsia="宋体" w:cs="Times New Roman"/>
          <w:color w:val="000000"/>
          <w:kern w:val="2"/>
          <w:sz w:val="28"/>
          <w:szCs w:val="28"/>
          <w:lang w:val="zh-CN" w:eastAsia="zh-CN" w:bidi="ar-SA"/>
        </w:rPr>
        <w:t>生产装置中有物料输送机、粉碎机、物料泵等设备，以上设备如出现故障或润滑不好，以及长时间在附近工作，会产生噪音伤害。因此应尽量选用低噪声设备，同时应尽量减少工作人员连续接触时间；在噪声较大的岗位，操作工人需佩戴护耳器以降低噪声危害。</w:t>
      </w:r>
    </w:p>
    <w:p>
      <w:pPr>
        <w:spacing w:line="360" w:lineRule="auto"/>
        <w:ind w:firstLine="560" w:firstLineChars="200"/>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zh-CN" w:eastAsia="zh-CN" w:bidi="ar-SA"/>
        </w:rPr>
        <w:t>设备运行在产生噪声的同时，会产生振动。按振动作用于人体的方式，可分为局部振动和全身振动。振动危害在生理上会造成人体神经系统功能障碍，损伤内脏，心理上会产生疲劳、慌乱、工作效率降低；造成厂房和设备基础倾斜和不均匀沉降，影响设备的精确度。</w:t>
      </w:r>
      <w:bookmarkEnd w:id="210"/>
      <w:bookmarkEnd w:id="211"/>
      <w:bookmarkEnd w:id="212"/>
      <w:bookmarkEnd w:id="272"/>
      <w:bookmarkEnd w:id="273"/>
      <w:bookmarkEnd w:id="274"/>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default"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附件2.2.12 粉尘伤害</w:t>
      </w:r>
    </w:p>
    <w:p>
      <w:pPr>
        <w:spacing w:line="360" w:lineRule="auto"/>
        <w:ind w:firstLine="560" w:firstLineChars="200"/>
        <w:rPr>
          <w:rFonts w:hint="eastAsia" w:ascii="Times New Roman" w:hAnsi="Times New Roman" w:eastAsia="宋体" w:cs="Times New Roman"/>
          <w:color w:val="000000"/>
          <w:kern w:val="2"/>
          <w:sz w:val="28"/>
          <w:szCs w:val="28"/>
          <w:lang w:val="zh-CN" w:eastAsia="zh-CN" w:bidi="ar-SA"/>
        </w:rPr>
      </w:pPr>
      <w:bookmarkStart w:id="275" w:name="_Toc198688280"/>
      <w:bookmarkStart w:id="276" w:name="_Toc198687860"/>
      <w:r>
        <w:rPr>
          <w:rFonts w:hint="eastAsia" w:ascii="Times New Roman" w:hAnsi="Times New Roman" w:eastAsia="宋体" w:cs="Times New Roman"/>
          <w:color w:val="000000"/>
          <w:kern w:val="2"/>
          <w:sz w:val="28"/>
          <w:szCs w:val="28"/>
          <w:lang w:val="zh-CN" w:eastAsia="zh-CN" w:bidi="ar-SA"/>
        </w:rPr>
        <w:t>物料粉碎的主要设备是粉碎机，粉碎机内部为粉尘爆炸危险环境，其主要危险因素是机器本身发生故障、造成人身伤害和产生粉尘。在《工作场所有害因素职业接触限值第1部分：化学有害因素》中规定谷物粉尘（游离SiO</w:t>
      </w:r>
      <w:r>
        <w:rPr>
          <w:rFonts w:hint="eastAsia" w:ascii="Times New Roman" w:hAnsi="Times New Roman" w:eastAsia="宋体" w:cs="Times New Roman"/>
          <w:color w:val="000000"/>
          <w:kern w:val="2"/>
          <w:sz w:val="28"/>
          <w:szCs w:val="28"/>
          <w:vertAlign w:val="subscript"/>
          <w:lang w:val="zh-CN" w:eastAsia="zh-CN" w:bidi="ar-SA"/>
        </w:rPr>
        <w:t>2</w:t>
      </w:r>
      <w:r>
        <w:rPr>
          <w:rFonts w:hint="eastAsia" w:ascii="Times New Roman" w:hAnsi="Times New Roman" w:eastAsia="宋体" w:cs="Times New Roman"/>
          <w:color w:val="000000"/>
          <w:kern w:val="2"/>
          <w:sz w:val="28"/>
          <w:szCs w:val="28"/>
          <w:lang w:val="zh-CN" w:eastAsia="zh-CN" w:bidi="ar-SA"/>
        </w:rPr>
        <w:t>含量＜10%）（总尘）时间加权平均容许浓度为4mg/m</w:t>
      </w:r>
      <w:r>
        <w:rPr>
          <w:rFonts w:hint="eastAsia" w:ascii="Times New Roman" w:hAnsi="Times New Roman" w:eastAsia="宋体" w:cs="Times New Roman"/>
          <w:color w:val="000000"/>
          <w:kern w:val="2"/>
          <w:sz w:val="28"/>
          <w:szCs w:val="28"/>
          <w:vertAlign w:val="superscript"/>
          <w:lang w:val="zh-CN" w:eastAsia="zh-CN" w:bidi="ar-SA"/>
        </w:rPr>
        <w:t>3</w:t>
      </w:r>
      <w:r>
        <w:rPr>
          <w:rFonts w:hint="eastAsia" w:ascii="Times New Roman" w:hAnsi="Times New Roman" w:eastAsia="宋体" w:cs="Times New Roman"/>
          <w:color w:val="000000"/>
          <w:kern w:val="2"/>
          <w:sz w:val="28"/>
          <w:szCs w:val="28"/>
          <w:lang w:val="zh-CN" w:eastAsia="zh-CN" w:bidi="ar-SA"/>
        </w:rPr>
        <w:t>，短时间接触容许浓度为8mg/m</w:t>
      </w:r>
      <w:r>
        <w:rPr>
          <w:rFonts w:hint="eastAsia" w:ascii="Times New Roman" w:hAnsi="Times New Roman" w:eastAsia="宋体" w:cs="Times New Roman"/>
          <w:color w:val="000000"/>
          <w:kern w:val="2"/>
          <w:sz w:val="28"/>
          <w:szCs w:val="28"/>
          <w:vertAlign w:val="superscript"/>
          <w:lang w:val="zh-CN" w:eastAsia="zh-CN" w:bidi="ar-SA"/>
        </w:rPr>
        <w:t>3</w:t>
      </w:r>
      <w:r>
        <w:rPr>
          <w:rFonts w:hint="eastAsia" w:ascii="Times New Roman" w:hAnsi="Times New Roman" w:eastAsia="宋体" w:cs="Times New Roman"/>
          <w:color w:val="000000"/>
          <w:kern w:val="2"/>
          <w:sz w:val="28"/>
          <w:szCs w:val="28"/>
          <w:lang w:val="zh-CN" w:eastAsia="zh-CN" w:bidi="ar-SA"/>
        </w:rPr>
        <w:t>；因此对于粉碎机有下列安全要求：</w:t>
      </w:r>
      <w:bookmarkEnd w:id="275"/>
      <w:bookmarkEnd w:id="276"/>
      <w:bookmarkStart w:id="277" w:name="_Toc198687861"/>
      <w:bookmarkStart w:id="278" w:name="_Toc198688281"/>
      <w:r>
        <w:rPr>
          <w:rFonts w:hint="eastAsia" w:ascii="Times New Roman" w:hAnsi="Times New Roman" w:eastAsia="宋体" w:cs="Times New Roman"/>
          <w:color w:val="000000"/>
          <w:kern w:val="2"/>
          <w:sz w:val="28"/>
          <w:szCs w:val="28"/>
          <w:lang w:val="zh-CN" w:eastAsia="zh-CN" w:bidi="ar-SA"/>
        </w:rPr>
        <w:t>加料和出料应尽量做到连续化、自动化；</w:t>
      </w:r>
      <w:bookmarkEnd w:id="277"/>
      <w:bookmarkEnd w:id="278"/>
      <w:bookmarkStart w:id="279" w:name="_Toc198687862"/>
      <w:bookmarkStart w:id="280" w:name="_Toc198688282"/>
      <w:r>
        <w:rPr>
          <w:rFonts w:hint="eastAsia" w:ascii="Times New Roman" w:hAnsi="Times New Roman" w:eastAsia="宋体" w:cs="Times New Roman"/>
          <w:color w:val="000000"/>
          <w:kern w:val="2"/>
          <w:sz w:val="28"/>
          <w:szCs w:val="28"/>
          <w:lang w:val="zh-CN" w:eastAsia="zh-CN" w:bidi="ar-SA"/>
        </w:rPr>
        <w:t>要有防止粉碎机损坏的安全装置；</w:t>
      </w:r>
      <w:bookmarkEnd w:id="279"/>
      <w:bookmarkEnd w:id="280"/>
      <w:bookmarkStart w:id="281" w:name="_Toc198688283"/>
      <w:bookmarkStart w:id="282" w:name="_Toc198687863"/>
      <w:r>
        <w:rPr>
          <w:rFonts w:hint="eastAsia" w:ascii="Times New Roman" w:hAnsi="Times New Roman" w:eastAsia="宋体" w:cs="Times New Roman"/>
          <w:color w:val="000000"/>
          <w:kern w:val="2"/>
          <w:sz w:val="28"/>
          <w:szCs w:val="28"/>
          <w:lang w:val="zh-CN" w:eastAsia="zh-CN" w:bidi="ar-SA"/>
        </w:rPr>
        <w:t>尽可能少的产生粉末；</w:t>
      </w:r>
      <w:bookmarkEnd w:id="281"/>
      <w:bookmarkEnd w:id="282"/>
      <w:bookmarkStart w:id="283" w:name="_Toc198687864"/>
      <w:bookmarkStart w:id="284" w:name="_Toc198688284"/>
      <w:r>
        <w:rPr>
          <w:rFonts w:hint="eastAsia" w:ascii="Times New Roman" w:hAnsi="Times New Roman" w:eastAsia="宋体" w:cs="Times New Roman"/>
          <w:color w:val="000000"/>
          <w:kern w:val="2"/>
          <w:sz w:val="28"/>
          <w:szCs w:val="28"/>
          <w:lang w:val="zh-CN" w:eastAsia="zh-CN" w:bidi="ar-SA"/>
        </w:rPr>
        <w:t>发生事故能迅速停车；</w:t>
      </w:r>
      <w:bookmarkEnd w:id="283"/>
      <w:bookmarkEnd w:id="284"/>
      <w:bookmarkStart w:id="285" w:name="_Toc198688285"/>
      <w:bookmarkStart w:id="286" w:name="_Toc198687865"/>
      <w:r>
        <w:rPr>
          <w:rFonts w:hint="eastAsia" w:ascii="Times New Roman" w:hAnsi="Times New Roman" w:eastAsia="宋体" w:cs="Times New Roman"/>
          <w:color w:val="000000"/>
          <w:kern w:val="2"/>
          <w:sz w:val="28"/>
          <w:szCs w:val="28"/>
          <w:lang w:val="zh-CN" w:eastAsia="zh-CN" w:bidi="ar-SA"/>
        </w:rPr>
        <w:t>生产车间要有防尘设施</w:t>
      </w:r>
      <w:bookmarkEnd w:id="285"/>
      <w:bookmarkEnd w:id="286"/>
      <w:r>
        <w:rPr>
          <w:rFonts w:hint="eastAsia" w:ascii="Times New Roman" w:hAnsi="Times New Roman" w:eastAsia="宋体" w:cs="Times New Roman"/>
          <w:color w:val="000000"/>
          <w:kern w:val="2"/>
          <w:sz w:val="28"/>
          <w:szCs w:val="28"/>
          <w:lang w:val="zh-CN" w:eastAsia="zh-CN" w:bidi="ar-S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default" w:ascii="Times New Roman" w:hAnsi="Times New Roman" w:eastAsia="宋体" w:cs="Times New Roman"/>
          <w:color w:val="000000"/>
          <w:kern w:val="2"/>
          <w:sz w:val="28"/>
          <w:szCs w:val="28"/>
          <w:lang w:val="en-US" w:eastAsia="zh-CN" w:bidi="ar-SA"/>
        </w:rPr>
      </w:pPr>
      <w:bookmarkStart w:id="287" w:name="_Toc18073_WPSOffice_Level1"/>
      <w:bookmarkStart w:id="288" w:name="_Toc25676_WPSOffice_Level1"/>
      <w:bookmarkStart w:id="289" w:name="_Toc5582_WPSOffice_Level1"/>
      <w:r>
        <w:rPr>
          <w:rFonts w:hint="eastAsia" w:ascii="Times New Roman" w:hAnsi="Times New Roman" w:eastAsia="宋体" w:cs="Times New Roman"/>
          <w:color w:val="000000"/>
          <w:kern w:val="2"/>
          <w:sz w:val="28"/>
          <w:szCs w:val="28"/>
          <w:lang w:val="en-US" w:eastAsia="zh-CN" w:bidi="ar-SA"/>
        </w:rPr>
        <w:t>附件2.3 自然灾害危险性分析</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附件2.3.1 地震</w:t>
      </w:r>
      <w:bookmarkEnd w:id="287"/>
      <w:bookmarkEnd w:id="288"/>
      <w:bookmarkEnd w:id="289"/>
    </w:p>
    <w:p>
      <w:pPr>
        <w:ind w:firstLine="560" w:firstLineChars="200"/>
        <w:rPr>
          <w:rFonts w:hint="eastAsia" w:ascii="Times New Roman" w:hAnsi="宋体" w:eastAsia="宋体" w:cs="Times New Roman"/>
          <w:sz w:val="28"/>
          <w:szCs w:val="28"/>
        </w:rPr>
      </w:pPr>
      <w:r>
        <w:rPr>
          <w:rFonts w:hint="eastAsia" w:ascii="Times New Roman" w:hAnsi="宋体" w:eastAsia="宋体" w:cs="Times New Roman"/>
          <w:sz w:val="28"/>
          <w:szCs w:val="28"/>
        </w:rPr>
        <w:t>地震灾害的特点是突发性强、破坏性大、社会影响大、防御难度大。</w:t>
      </w:r>
    </w:p>
    <w:p>
      <w:pPr>
        <w:ind w:firstLine="560" w:firstLineChars="200"/>
        <w:rPr>
          <w:rFonts w:hint="eastAsia" w:ascii="Times New Roman" w:hAnsi="宋体" w:eastAsia="宋体" w:cs="Times New Roman"/>
          <w:sz w:val="28"/>
          <w:szCs w:val="28"/>
        </w:rPr>
      </w:pPr>
      <w:r>
        <w:rPr>
          <w:rFonts w:hint="eastAsia" w:ascii="Times New Roman" w:hAnsi="宋体" w:eastAsia="宋体" w:cs="Times New Roman"/>
          <w:sz w:val="28"/>
          <w:szCs w:val="28"/>
        </w:rPr>
        <w:t>地震灾害分直接灾害和次生灾害。直接灾害对该企业造成的灾害是地震波引起的强烈震动、地震断层的错动和地面变形等所造成的灾害，主要表现为断裂、隆起、平移或凹陷等形式。这些现象对该企业的建筑物、地面造成破坏，对相关设施如储罐、管道、供水、排水、供电等造成破坏，危险物料</w:t>
      </w:r>
      <w:r>
        <w:rPr>
          <w:rFonts w:hint="eastAsia" w:hAnsi="宋体" w:cs="Times New Roman"/>
          <w:sz w:val="28"/>
          <w:szCs w:val="28"/>
          <w:lang w:eastAsia="zh-CN"/>
        </w:rPr>
        <w:t>泄漏</w:t>
      </w:r>
      <w:r>
        <w:rPr>
          <w:rFonts w:hint="eastAsia" w:ascii="Times New Roman" w:hAnsi="宋体" w:eastAsia="宋体" w:cs="Times New Roman"/>
          <w:sz w:val="28"/>
          <w:szCs w:val="28"/>
        </w:rPr>
        <w:t>起火，进而可能引发中毒、灼伤等灾害事故，造成人员伤亡。</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bookmarkStart w:id="290" w:name="_Toc21923_WPSOffice_Level1"/>
      <w:bookmarkStart w:id="291" w:name="_Toc29667_WPSOffice_Level1"/>
      <w:bookmarkStart w:id="292" w:name="_Toc19424_WPSOffice_Level1"/>
      <w:r>
        <w:rPr>
          <w:rFonts w:hint="eastAsia" w:ascii="Times New Roman" w:hAnsi="Times New Roman" w:eastAsia="宋体" w:cs="Times New Roman"/>
          <w:color w:val="000000"/>
          <w:kern w:val="2"/>
          <w:sz w:val="28"/>
          <w:szCs w:val="28"/>
          <w:lang w:val="en-US" w:eastAsia="zh-CN" w:bidi="ar-SA"/>
        </w:rPr>
        <w:t>附件2.3.2 雷电影响</w:t>
      </w:r>
      <w:bookmarkEnd w:id="290"/>
      <w:bookmarkEnd w:id="291"/>
      <w:bookmarkEnd w:id="292"/>
    </w:p>
    <w:p>
      <w:pPr>
        <w:ind w:firstLine="560" w:firstLineChars="200"/>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雷电是自然界声、光、电现象，它给人类生活和生产活动带来很大的影响。该企业如果防雷设置不当，可能发生雷电灾害。</w:t>
      </w:r>
    </w:p>
    <w:p>
      <w:pPr>
        <w:ind w:firstLine="560" w:firstLineChars="200"/>
        <w:rPr>
          <w:rFonts w:hint="eastAsia" w:ascii="Times New Roman" w:hAnsi="Times New Roman" w:eastAsia="宋体" w:cs="Times New Roman"/>
          <w:color w:val="auto"/>
          <w:sz w:val="28"/>
          <w:szCs w:val="28"/>
          <w:lang w:eastAsia="zh-CN"/>
        </w:rPr>
      </w:pPr>
      <w:r>
        <w:rPr>
          <w:rFonts w:hint="eastAsia" w:ascii="Times New Roman" w:hAnsi="Times New Roman" w:eastAsia="宋体" w:cs="Times New Roman"/>
          <w:color w:val="auto"/>
          <w:sz w:val="28"/>
          <w:szCs w:val="28"/>
          <w:lang w:eastAsia="zh-CN"/>
        </w:rPr>
        <w:t>由于雷电具有电流很大、电压很高、冲击性很强的特点，一旦被雷电击中，不但可能损坏有关设备和设施，造成大规模停电、造成财产损失，而且还会导致火灾和爆炸，造成人员伤亡事故。</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bookmarkStart w:id="293" w:name="_Toc26003_WPSOffice_Level2"/>
      <w:bookmarkStart w:id="294" w:name="_Toc8445_WPSOffice_Level1"/>
      <w:r>
        <w:rPr>
          <w:rFonts w:hint="eastAsia" w:ascii="Times New Roman" w:hAnsi="Times New Roman" w:eastAsia="宋体" w:cs="Times New Roman"/>
          <w:color w:val="000000"/>
          <w:kern w:val="2"/>
          <w:sz w:val="28"/>
          <w:szCs w:val="28"/>
          <w:lang w:val="en-US" w:eastAsia="zh-CN" w:bidi="ar-SA"/>
        </w:rPr>
        <w:t>附件2.3.3 洪水</w:t>
      </w:r>
      <w:bookmarkEnd w:id="293"/>
      <w:bookmarkEnd w:id="294"/>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所在地区年平均降水量为</w:t>
      </w:r>
      <w:r>
        <w:rPr>
          <w:rFonts w:hint="eastAsia" w:ascii="Times New Roman" w:hAnsi="Times New Roman" w:eastAsia="宋体" w:cs="Times New Roman"/>
          <w:color w:val="FF0000"/>
          <w:sz w:val="28"/>
          <w:szCs w:val="28"/>
          <w:lang w:val="en-US" w:eastAsia="zh-CN"/>
        </w:rPr>
        <w:t>727.5mm</w:t>
      </w:r>
      <w:r>
        <w:rPr>
          <w:rFonts w:hint="eastAsia" w:ascii="Times New Roman" w:hAnsi="Times New Roman" w:eastAsia="宋体" w:cs="Times New Roman"/>
          <w:color w:val="auto"/>
          <w:sz w:val="28"/>
          <w:szCs w:val="28"/>
          <w:lang w:val="en-US" w:eastAsia="zh-CN"/>
        </w:rPr>
        <w:t>，多集中在7、8月。暴雨在短时间内可能在厂区内造成积水引发内涝。洪水可能造成厂区内水淹，危险物质外泄，污染周围环境，会使人员、财产受到损失。</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295" w:name="_Toc202591505"/>
      <w:bookmarkStart w:id="296" w:name="_Toc201742057"/>
      <w:bookmarkStart w:id="297" w:name="_Toc4860_WPSOffice_Level2"/>
      <w:r>
        <w:rPr>
          <w:rFonts w:hint="eastAsia" w:ascii="Times New Roman" w:hAnsi="Times New Roman" w:eastAsia="宋体" w:cs="Times New Roman"/>
          <w:color w:val="000000"/>
          <w:kern w:val="2"/>
          <w:sz w:val="28"/>
          <w:szCs w:val="28"/>
          <w:lang w:val="en-US" w:eastAsia="zh-CN" w:bidi="ar-SA"/>
        </w:rPr>
        <w:t>附件2.4 行为性危险、有害因素分析</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运行过程中应严格遵守生产和安全的有关规章和安全技术操作规程，否则，生产人员的判断错误、操作失误、监护错误、违章指挥等可能导致事故的发生，轻则停业，遭受经济损失，重则发生人员伤亡事故。人的不安全行为危险、有害因素也是重要的一项因素，主要表现在以下几个方面：</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（1）指挥错误</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由于指挥错误或不按有关规定指挥，造成设备、人员伤害，这主要是基本功不够，心理素质差或感知迟钝、对事故无预见而造成的。</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（2）操作失误</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操作人员在操作过程中误操作、违章操作等，易发生设备损坏、人员伤害等事故。</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（3）监护失误</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操作人员在操作过程中，监护人员的监护不利，甚至判断失察或监护失误造成事故。该项目各工序中都可能由于人的不安全行为因素而导致火灾爆炸、高处坠落等事故发生。行为性危险因素若没有得到及时发现和纠正，极有可能造成范围广、性质严重的安全事故，往往伴有人员的伤亡发生，因此要特别加强员工的安全培训工作。</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（4）维护巡检</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检修人员在在对设备进行维护检修过程中，由于未挂检修标识牌，导致在检修过程中设备突然运转，造成人员伤害和设备损坏事故。或检修人员不具备检修资质，造成人员伤害和财产损失。</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（5）安全管理不到位</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安全管理制度、工作票制度、维护检修制度、操作制度不完善、不健全，安全管理人员监督工作不到位，安全培训不及时，操作人员未持证上岗等等。</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（6）其他行为性危险和有害因素。</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298" w:name="_Toc261006302"/>
      <w:bookmarkStart w:id="299" w:name="_Toc268712175"/>
      <w:bookmarkStart w:id="300" w:name="_Toc26212"/>
      <w:bookmarkStart w:id="301" w:name="_Toc245797119"/>
      <w:bookmarkStart w:id="302" w:name="_Toc245378287"/>
      <w:bookmarkStart w:id="303" w:name="_Toc332006761"/>
      <w:bookmarkStart w:id="304" w:name="_Toc351415156"/>
      <w:bookmarkStart w:id="305" w:name="_Toc351414989"/>
      <w:bookmarkStart w:id="306" w:name="_Toc245796969"/>
      <w:bookmarkStart w:id="307" w:name="_Toc300581854"/>
      <w:bookmarkStart w:id="308" w:name="_Toc480291846"/>
      <w:r>
        <w:rPr>
          <w:rFonts w:hint="eastAsia" w:ascii="Times New Roman" w:hAnsi="Times New Roman" w:eastAsia="宋体" w:cs="Times New Roman"/>
          <w:color w:val="000000"/>
          <w:kern w:val="2"/>
          <w:sz w:val="28"/>
          <w:szCs w:val="28"/>
          <w:lang w:val="en-US" w:eastAsia="zh-CN" w:bidi="ar-SA"/>
        </w:rPr>
        <w:t>附件2.5</w:t>
      </w:r>
      <w:r>
        <w:rPr>
          <w:rFonts w:hint="eastAsia" w:cs="Times New Roman"/>
          <w:color w:val="000000"/>
          <w:kern w:val="2"/>
          <w:sz w:val="28"/>
          <w:szCs w:val="28"/>
          <w:lang w:val="en-US" w:eastAsia="zh-CN" w:bidi="ar-SA"/>
        </w:rPr>
        <w:t xml:space="preserve"> </w:t>
      </w:r>
      <w:r>
        <w:rPr>
          <w:rFonts w:hint="eastAsia" w:ascii="Times New Roman" w:hAnsi="Times New Roman" w:eastAsia="宋体" w:cs="Times New Roman"/>
          <w:color w:val="000000"/>
          <w:kern w:val="2"/>
          <w:sz w:val="28"/>
          <w:szCs w:val="28"/>
          <w:lang w:val="en-US" w:eastAsia="zh-CN" w:bidi="ar-SA"/>
        </w:rPr>
        <w:t>作业环境危险、有害因素辨识</w:t>
      </w:r>
      <w:bookmarkEnd w:id="298"/>
      <w:bookmarkEnd w:id="299"/>
      <w:bookmarkEnd w:id="300"/>
      <w:bookmarkEnd w:id="301"/>
      <w:bookmarkEnd w:id="302"/>
      <w:bookmarkEnd w:id="303"/>
      <w:bookmarkEnd w:id="304"/>
      <w:bookmarkEnd w:id="305"/>
      <w:bookmarkEnd w:id="306"/>
      <w:bookmarkEnd w:id="307"/>
      <w:r>
        <w:rPr>
          <w:rFonts w:hint="eastAsia" w:ascii="Times New Roman" w:hAnsi="Times New Roman" w:eastAsia="宋体" w:cs="Times New Roman"/>
          <w:color w:val="000000"/>
          <w:kern w:val="2"/>
          <w:sz w:val="28"/>
          <w:szCs w:val="28"/>
          <w:lang w:val="en-US" w:eastAsia="zh-CN" w:bidi="ar-SA"/>
        </w:rPr>
        <w:t>与分析</w:t>
      </w:r>
      <w:bookmarkEnd w:id="308"/>
    </w:p>
    <w:p>
      <w:pPr>
        <w:ind w:firstLine="560" w:firstLineChars="200"/>
        <w:rPr>
          <w:rFonts w:hint="eastAsia" w:ascii="Times New Roman" w:hAnsi="Times New Roman" w:eastAsia="宋体" w:cs="Times New Roman"/>
          <w:color w:val="auto"/>
          <w:sz w:val="28"/>
          <w:szCs w:val="28"/>
          <w:lang w:val="en-US" w:eastAsia="zh-CN"/>
        </w:rPr>
      </w:pPr>
      <w:bookmarkStart w:id="309" w:name="_Toc352335861"/>
      <w:bookmarkStart w:id="310" w:name="_Toc480291847"/>
      <w:bookmarkStart w:id="311" w:name="_Toc351415158"/>
      <w:bookmarkStart w:id="312" w:name="_Toc26499"/>
      <w:bookmarkStart w:id="313" w:name="_Toc351414991"/>
      <w:r>
        <w:rPr>
          <w:rFonts w:hint="eastAsia" w:ascii="Times New Roman" w:hAnsi="Times New Roman" w:eastAsia="宋体" w:cs="Times New Roman"/>
          <w:color w:val="auto"/>
          <w:sz w:val="28"/>
          <w:szCs w:val="28"/>
          <w:lang w:val="en-US" w:eastAsia="zh-CN"/>
        </w:rPr>
        <w:t>（1）噪声</w:t>
      </w:r>
      <w:bookmarkEnd w:id="309"/>
      <w:bookmarkEnd w:id="310"/>
      <w:bookmarkEnd w:id="311"/>
      <w:bookmarkEnd w:id="312"/>
      <w:bookmarkEnd w:id="313"/>
    </w:p>
    <w:p>
      <w:pPr>
        <w:ind w:firstLine="560" w:firstLineChars="200"/>
        <w:rPr>
          <w:rFonts w:hint="eastAsia" w:ascii="Times New Roman" w:hAnsi="Times New Roman" w:eastAsia="宋体" w:cs="Times New Roman"/>
          <w:color w:val="auto"/>
          <w:sz w:val="28"/>
          <w:szCs w:val="28"/>
          <w:lang w:val="zh-CN" w:eastAsia="zh-CN"/>
        </w:rPr>
      </w:pPr>
      <w:r>
        <w:rPr>
          <w:rFonts w:hint="eastAsia" w:ascii="Times New Roman" w:hAnsi="Times New Roman" w:eastAsia="宋体" w:cs="Times New Roman"/>
          <w:color w:val="auto"/>
          <w:sz w:val="28"/>
          <w:szCs w:val="28"/>
          <w:lang w:val="en-US" w:eastAsia="zh-CN"/>
        </w:rPr>
        <w:t>在运行作业过程中各种泵、电机等在作业过程中，会产生噪声。是产生职业病危害的主要因素。</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作业人员长时间处在强烈的噪声环境中，对人的身心健康都有损害，噪声造成的掩蔽效应，使作业人员听不到信号或事故的前兆声响，会导致事故危险性增加。噪声性外伤：突发性强烈噪声能对听觉器官造成严重损伤，出现晕眩、耳鸣、耳痛等；严重时可造成耳聋。噪声性耳聋是一种职业病，是由于长期接触噪声所引起的听力损伤，症状是耳鸣、头痛、头晕、失眠、神经过敏、幻觉等。</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（2）高温</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主要是夏季室外巡线作业、设备故障检修时存在高温危害。在高温环境下从事生产劳动，会给人体带来一系列的危害，主要体现在影响人体的体温调节和水盐代谢及循环系统等。如当热调节发生障碍时，轻者影响劳动能力，重者可引起中暑。水盐代谢的失衡可导致血液浓缩，尿液浓缩，尿量减少，严重时引起循环衰竭和热痉挛。高温作业工人的高血压发病率较高，且随着工龄的增加而增加。高温还可以抑制中枢神经系统，使工人在操作过程中注意力分散，肌肉工作能力降低，从而导致工伤事故。</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（3）低温</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所在区域极端最低气温达到</w:t>
      </w:r>
      <w:r>
        <w:rPr>
          <w:rFonts w:hint="eastAsia" w:ascii="Times New Roman" w:hAnsi="Times New Roman" w:eastAsia="宋体" w:cs="Times New Roman"/>
          <w:color w:val="FF0000"/>
          <w:sz w:val="28"/>
          <w:szCs w:val="28"/>
          <w:lang w:val="en-US" w:eastAsia="zh-CN"/>
        </w:rPr>
        <w:t>-30.6℃</w:t>
      </w:r>
      <w:r>
        <w:rPr>
          <w:rFonts w:hint="eastAsia" w:ascii="Times New Roman" w:hAnsi="Times New Roman" w:eastAsia="宋体" w:cs="Times New Roman"/>
          <w:color w:val="auto"/>
          <w:sz w:val="28"/>
          <w:szCs w:val="28"/>
          <w:lang w:val="en-US" w:eastAsia="zh-CN"/>
        </w:rPr>
        <w:t>。在冬季室外巡线等作业、设备维护可能造成低温冻伤危害。</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314" w:name="_Toc20668"/>
      <w:bookmarkStart w:id="315" w:name="_Toc480291835"/>
      <w:r>
        <w:rPr>
          <w:rFonts w:hint="eastAsia" w:ascii="Times New Roman" w:hAnsi="Times New Roman" w:eastAsia="宋体" w:cs="Times New Roman"/>
          <w:color w:val="000000"/>
          <w:kern w:val="2"/>
          <w:sz w:val="28"/>
          <w:szCs w:val="28"/>
          <w:lang w:val="en-US" w:eastAsia="zh-CN" w:bidi="ar-SA"/>
        </w:rPr>
        <w:t>附件2.6</w:t>
      </w:r>
      <w:r>
        <w:rPr>
          <w:rFonts w:hint="eastAsia" w:cs="Times New Roman"/>
          <w:color w:val="000000"/>
          <w:kern w:val="2"/>
          <w:sz w:val="28"/>
          <w:szCs w:val="28"/>
          <w:lang w:val="en-US" w:eastAsia="zh-CN" w:bidi="ar-SA"/>
        </w:rPr>
        <w:t xml:space="preserve"> </w:t>
      </w:r>
      <w:r>
        <w:rPr>
          <w:rFonts w:hint="eastAsia" w:ascii="Times New Roman" w:hAnsi="Times New Roman" w:eastAsia="宋体" w:cs="Times New Roman"/>
          <w:color w:val="000000"/>
          <w:kern w:val="2"/>
          <w:sz w:val="28"/>
          <w:szCs w:val="28"/>
          <w:lang w:val="en-US" w:eastAsia="zh-CN" w:bidi="ar-SA"/>
        </w:rPr>
        <w:t>安全管理缺陷可能引发的危险</w:t>
      </w:r>
      <w:bookmarkEnd w:id="314"/>
      <w:bookmarkEnd w:id="315"/>
    </w:p>
    <w:p>
      <w:pPr>
        <w:ind w:firstLine="560" w:firstLineChars="200"/>
        <w:rPr>
          <w:rFonts w:hint="eastAsia" w:ascii="Times New Roman" w:hAnsi="Times New Roman" w:eastAsia="宋体" w:cs="Times New Roman"/>
          <w:color w:val="auto"/>
          <w:sz w:val="28"/>
          <w:szCs w:val="28"/>
          <w:lang w:val="en-US" w:eastAsia="zh-CN"/>
        </w:rPr>
      </w:pPr>
      <w:bookmarkStart w:id="316" w:name="_Toc351415151"/>
      <w:bookmarkStart w:id="317" w:name="_Toc352335854"/>
      <w:bookmarkStart w:id="318" w:name="_Toc351414984"/>
      <w:bookmarkStart w:id="319" w:name="_Toc480291836"/>
      <w:bookmarkStart w:id="320" w:name="_Toc12770"/>
      <w:r>
        <w:rPr>
          <w:rFonts w:hint="eastAsia" w:ascii="Times New Roman" w:hAnsi="Times New Roman" w:eastAsia="宋体" w:cs="Times New Roman"/>
          <w:color w:val="auto"/>
          <w:sz w:val="28"/>
          <w:szCs w:val="28"/>
          <w:lang w:val="en-US" w:eastAsia="zh-CN"/>
        </w:rPr>
        <w:t>（1）安全管理机构</w:t>
      </w:r>
      <w:bookmarkEnd w:id="316"/>
      <w:bookmarkEnd w:id="317"/>
      <w:bookmarkEnd w:id="318"/>
      <w:bookmarkEnd w:id="319"/>
      <w:bookmarkEnd w:id="320"/>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安全管理机构是维护运营安全的核心部门，它要建立公司的安全管理系统，使安全贯穿在经营活动的方方面面，建立全方位、全过程、全体人员的安全管理系统，若没有建立安全管理机构或管理机构不健全，安全管理混乱，一旦发生事故，不能有效地控制事故，将导致恶性事故的发生。</w:t>
      </w:r>
    </w:p>
    <w:p>
      <w:pPr>
        <w:ind w:firstLine="560" w:firstLineChars="200"/>
        <w:rPr>
          <w:rFonts w:hint="eastAsia" w:ascii="Times New Roman" w:hAnsi="Times New Roman" w:eastAsia="宋体" w:cs="Times New Roman"/>
          <w:color w:val="auto"/>
          <w:sz w:val="28"/>
          <w:szCs w:val="28"/>
          <w:lang w:val="en-US" w:eastAsia="zh-CN"/>
        </w:rPr>
      </w:pPr>
      <w:bookmarkStart w:id="321" w:name="_Toc351415152"/>
      <w:bookmarkStart w:id="322" w:name="_Toc480291837"/>
      <w:bookmarkStart w:id="323" w:name="_Toc352335855"/>
      <w:bookmarkStart w:id="324" w:name="_Toc351414985"/>
      <w:bookmarkStart w:id="325" w:name="_Toc21184"/>
      <w:r>
        <w:rPr>
          <w:rFonts w:hint="eastAsia" w:ascii="Times New Roman" w:hAnsi="Times New Roman" w:eastAsia="宋体" w:cs="Times New Roman"/>
          <w:color w:val="auto"/>
          <w:sz w:val="28"/>
          <w:szCs w:val="28"/>
          <w:lang w:val="en-US" w:eastAsia="zh-CN"/>
        </w:rPr>
        <w:t>（2）安全生产责任制、安全管理制度及安全操作规程</w:t>
      </w:r>
      <w:bookmarkEnd w:id="321"/>
      <w:bookmarkEnd w:id="322"/>
      <w:bookmarkEnd w:id="323"/>
      <w:bookmarkEnd w:id="324"/>
      <w:bookmarkEnd w:id="325"/>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安全生产责任制是公司各项安全生产规章制度的核心，是生产单位行政岗位责任制和经济责任制度的重要组成部分，也是最基本的安全管理制度。安全生产责任制是将各级负责人员、各职能部门及其工作人员和各岗位操作人员的</w:t>
      </w:r>
      <w:r>
        <w:rPr>
          <w:rFonts w:hint="eastAsia" w:cs="Times New Roman"/>
          <w:color w:val="auto"/>
          <w:sz w:val="28"/>
          <w:szCs w:val="28"/>
          <w:lang w:val="en-US" w:eastAsia="zh-CN"/>
        </w:rPr>
        <w:t>岗位职责</w:t>
      </w:r>
      <w:r>
        <w:rPr>
          <w:rFonts w:hint="eastAsia" w:ascii="Times New Roman" w:hAnsi="Times New Roman" w:eastAsia="宋体" w:cs="Times New Roman"/>
          <w:color w:val="auto"/>
          <w:sz w:val="28"/>
          <w:szCs w:val="28"/>
          <w:lang w:val="en-US" w:eastAsia="zh-CN"/>
        </w:rPr>
        <w:t>和应负的责任加以明确规定的一种制度。如果安全生产责任制不健全或未落实，可能会导致各类事故的发生。</w:t>
      </w:r>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在制定安全生产责任制的同时，还应制定公司的各项安全管理制度和安全操作规程。安全生产规章制度是搞好安全生产，保证其正常运行的重要手段。如果安全管理制度和安全操作规程不健全，各项安全工作就会得不到落实。已制定安全生产责任制、各项安全管理制度和完善详细的安全操作规程，操作人员能够严格执行规程，从而防止各种事故的发生。</w:t>
      </w:r>
    </w:p>
    <w:p>
      <w:pPr>
        <w:ind w:firstLine="560" w:firstLineChars="200"/>
        <w:rPr>
          <w:rFonts w:hint="eastAsia" w:ascii="Times New Roman" w:hAnsi="Times New Roman" w:eastAsia="宋体" w:cs="Times New Roman"/>
          <w:color w:val="auto"/>
          <w:sz w:val="28"/>
          <w:szCs w:val="28"/>
          <w:lang w:val="en-US" w:eastAsia="zh-CN"/>
        </w:rPr>
      </w:pPr>
      <w:bookmarkStart w:id="326" w:name="_Toc14053"/>
      <w:bookmarkStart w:id="327" w:name="_Toc480291838"/>
      <w:bookmarkStart w:id="328" w:name="_Toc351414986"/>
      <w:bookmarkStart w:id="329" w:name="_Toc351415153"/>
      <w:bookmarkStart w:id="330" w:name="_Toc352335856"/>
      <w:r>
        <w:rPr>
          <w:rFonts w:hint="eastAsia" w:ascii="Times New Roman" w:hAnsi="Times New Roman" w:eastAsia="宋体" w:cs="Times New Roman"/>
          <w:color w:val="auto"/>
          <w:sz w:val="28"/>
          <w:szCs w:val="28"/>
          <w:lang w:val="en-US" w:eastAsia="zh-CN"/>
        </w:rPr>
        <w:t>（3）人员安全教育培训</w:t>
      </w:r>
      <w:bookmarkEnd w:id="326"/>
      <w:bookmarkEnd w:id="327"/>
      <w:bookmarkEnd w:id="328"/>
      <w:bookmarkEnd w:id="329"/>
      <w:bookmarkEnd w:id="330"/>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对从业人员进行安全生产教育和培训，是实现安全生产、文明生产、提高员工安全意识和安全素质、防止产生不安全行为、减少人为失误的重要途径，同时也是公司必须承担的法定义务。若教育和培训的内容不全面或作业人员得不到有效的安全培训，操作人员掌握不到应有的安全知识和技能，会使作业人员的安全意识薄弱，违章行为时有发生，操作失误率高，不懂得自救，进而导致各种事故的发生。定期进行人员的安全教育培训，安全培训教育内容主要包括：安全生产有关法律、法规；危险源和危险点及典型事故教训，各项安全生产标准和纪律等要求及岗位操作要求等。作业人员应采取三级安全教育培训合格后上岗。</w:t>
      </w:r>
    </w:p>
    <w:p>
      <w:pPr>
        <w:ind w:firstLine="560" w:firstLineChars="200"/>
        <w:rPr>
          <w:rFonts w:hint="eastAsia" w:ascii="Times New Roman" w:hAnsi="Times New Roman" w:eastAsia="宋体" w:cs="Times New Roman"/>
          <w:color w:val="auto"/>
          <w:sz w:val="28"/>
          <w:szCs w:val="28"/>
          <w:lang w:val="en-US" w:eastAsia="zh-CN"/>
        </w:rPr>
      </w:pPr>
      <w:bookmarkStart w:id="331" w:name="_Toc480291839"/>
      <w:bookmarkStart w:id="332" w:name="_Toc351414987"/>
      <w:bookmarkStart w:id="333" w:name="_Toc351415154"/>
      <w:bookmarkStart w:id="334" w:name="_Toc352335857"/>
      <w:bookmarkStart w:id="335" w:name="_Toc15152"/>
      <w:r>
        <w:rPr>
          <w:rFonts w:hint="eastAsia" w:ascii="Times New Roman" w:hAnsi="Times New Roman" w:eastAsia="宋体" w:cs="Times New Roman"/>
          <w:color w:val="auto"/>
          <w:sz w:val="28"/>
          <w:szCs w:val="28"/>
          <w:lang w:val="en-US" w:eastAsia="zh-CN"/>
        </w:rPr>
        <w:t>（4）安全投入</w:t>
      </w:r>
      <w:bookmarkEnd w:id="331"/>
      <w:bookmarkEnd w:id="332"/>
      <w:bookmarkEnd w:id="333"/>
      <w:bookmarkEnd w:id="334"/>
      <w:bookmarkEnd w:id="335"/>
    </w:p>
    <w:p>
      <w:pPr>
        <w:ind w:firstLine="560" w:firstLineChars="200"/>
        <w:rPr>
          <w:rFonts w:hint="eastAsia"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该企业</w:t>
      </w:r>
      <w:r>
        <w:rPr>
          <w:rFonts w:hint="eastAsia" w:ascii="Times New Roman" w:hAnsi="Times New Roman" w:eastAsia="宋体" w:cs="Times New Roman"/>
          <w:color w:val="auto"/>
          <w:sz w:val="28"/>
          <w:szCs w:val="28"/>
          <w:lang w:val="en-US" w:eastAsia="zh-CN"/>
        </w:rPr>
        <w:t>安排适当的资金，用于改善安全设施，更新安全技术装备、器材、仪器、仪表以及其他安全生产投入，来保证公司达到法律、法规、标准规定的安全生产条件。同时为了保证资金的有效投入，</w:t>
      </w:r>
      <w:r>
        <w:rPr>
          <w:rFonts w:hint="eastAsia" w:cs="Times New Roman"/>
          <w:color w:val="auto"/>
          <w:sz w:val="28"/>
          <w:szCs w:val="28"/>
          <w:lang w:val="en-US" w:eastAsia="zh-CN"/>
        </w:rPr>
        <w:t>该企业</w:t>
      </w:r>
      <w:r>
        <w:rPr>
          <w:rFonts w:hint="eastAsia" w:ascii="Times New Roman" w:hAnsi="Times New Roman" w:eastAsia="宋体" w:cs="Times New Roman"/>
          <w:color w:val="auto"/>
          <w:sz w:val="28"/>
          <w:szCs w:val="28"/>
          <w:lang w:val="en-US" w:eastAsia="zh-CN"/>
        </w:rPr>
        <w:t>编制年度安全技术措施计划，并实行专款专用制度。安全投入若不够，没有相应的安全设施、不合格设施得不到及时的检修或更换、人员安全教育培训得不到保证、人员防护用品用具不足等，易导致事故发生，且一旦发生事故，损失严重，人员伤亡较大。</w:t>
      </w:r>
    </w:p>
    <w:p>
      <w:pPr>
        <w:ind w:firstLine="560" w:firstLineChars="200"/>
        <w:rPr>
          <w:rFonts w:hint="eastAsia" w:ascii="Times New Roman" w:hAnsi="Times New Roman" w:eastAsia="宋体" w:cs="Times New Roman"/>
          <w:color w:val="auto"/>
          <w:sz w:val="28"/>
          <w:szCs w:val="28"/>
          <w:lang w:val="en-US" w:eastAsia="zh-CN"/>
        </w:rPr>
      </w:pPr>
      <w:bookmarkStart w:id="336" w:name="_Toc351414988"/>
      <w:bookmarkStart w:id="337" w:name="_Toc352335858"/>
      <w:bookmarkStart w:id="338" w:name="_Toc19790"/>
      <w:bookmarkStart w:id="339" w:name="_Toc480291840"/>
      <w:bookmarkStart w:id="340" w:name="_Toc351415155"/>
      <w:r>
        <w:rPr>
          <w:rFonts w:hint="eastAsia" w:ascii="Times New Roman" w:hAnsi="Times New Roman" w:eastAsia="宋体" w:cs="Times New Roman"/>
          <w:color w:val="auto"/>
          <w:sz w:val="28"/>
          <w:szCs w:val="28"/>
          <w:lang w:val="en-US" w:eastAsia="zh-CN"/>
        </w:rPr>
        <w:t>（5） 事故应急救援体系</w:t>
      </w:r>
      <w:bookmarkEnd w:id="336"/>
      <w:bookmarkEnd w:id="337"/>
      <w:bookmarkEnd w:id="338"/>
      <w:bookmarkEnd w:id="339"/>
      <w:bookmarkEnd w:id="340"/>
    </w:p>
    <w:p>
      <w:pPr>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在企业生产运行中都有可能发生事故，一旦发生事故，往往会造成人员伤亡和财产损失。当事故或灾害不可能完全避免的时候，建立应急救援体系，组织及时有效的应急救援行动已成为抵御事故或控制灾害蔓延、降低危害后果的关键甚至是唯一手段。若未制定事故应急救援预案，未配备应急救援人员和必要的应急救援器材和设备，也未组织演练，该项目建成投产后如果发生事故，可能会得不到有效控制，事故继续扩大和蔓延，将造成非常惨重的后果和损失。</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附件2.7</w:t>
      </w:r>
      <w:r>
        <w:rPr>
          <w:rFonts w:hint="eastAsia" w:cs="Times New Roman"/>
          <w:color w:val="000000"/>
          <w:kern w:val="2"/>
          <w:sz w:val="28"/>
          <w:szCs w:val="28"/>
          <w:lang w:val="en-US" w:eastAsia="zh-CN" w:bidi="ar-SA"/>
        </w:rPr>
        <w:t xml:space="preserve"> </w:t>
      </w:r>
      <w:r>
        <w:rPr>
          <w:rFonts w:hint="eastAsia" w:ascii="Times New Roman" w:hAnsi="Times New Roman" w:eastAsia="宋体" w:cs="Times New Roman"/>
          <w:color w:val="000000"/>
          <w:kern w:val="2"/>
          <w:sz w:val="28"/>
          <w:szCs w:val="28"/>
          <w:lang w:val="en-US" w:eastAsia="zh-CN" w:bidi="ar-SA"/>
        </w:rPr>
        <w:t>检维修过程中的危险有害因素分析</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装置检维修过程中经常发生的事故有：火灾、爆炸、机械伤害、高处坠落、触电、中毒和窒息等，事故类型较多，危害较大。而违章检维修、安全知识欠缺、安全意识淡薄是造成事故发生的重要原因之一。</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（1）动火作业</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在动火作业前，不严格按规定办理《动火安全作业证》；动火项目负责人不到现场检查动火安全措施和物资落实情况；焊接作业氧气瓶和乙炔瓶间距不够；动火监护人责任心不强，监护期间擅离职守；没按规定进行动火前的分析化验等都会埋下安全隐患，存在引发火灾事故的危险。</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安全措施不完善、作业方法不合理、选用工具不正确等都会引发火灾、爆炸事故。检修中违章使用易燃品、违章动火、不严格执行安全规程和检修规程，是导致火灾、爆炸事故发生的主要原因；有可燃气体存在的作业场所，使用产生火花的机械工具是产生火灾、爆炸事故的重要原因。</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（2）进入有限空间作业</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cs="Times New Roman"/>
          <w:color w:val="auto"/>
          <w:kern w:val="0"/>
          <w:sz w:val="28"/>
          <w:szCs w:val="28"/>
          <w:lang w:val="en-US" w:eastAsia="zh-CN" w:bidi="ar-SA"/>
        </w:rPr>
        <w:t>该企业</w:t>
      </w:r>
      <w:r>
        <w:rPr>
          <w:rFonts w:hint="eastAsia" w:ascii="Times New Roman" w:hAnsi="Times New Roman" w:eastAsia="宋体" w:cs="Times New Roman"/>
          <w:color w:val="auto"/>
          <w:kern w:val="0"/>
          <w:sz w:val="28"/>
          <w:szCs w:val="28"/>
          <w:lang w:val="en-US" w:eastAsia="zh-CN" w:bidi="ar-SA"/>
        </w:rPr>
        <w:t>地下沉淀池、事故池、储罐等属于受限空间，应按照受限空间进行管理，进入有限空间作业必须严格按规定办理《受限空间安全作业证》，项目负责人必须到现场落实安全措施情况，确认安全措施可靠并向作业负责人、作业执行人和作业监护人交代安全注意事项，作业人员必须在作业证上签字确认。在受限空间进行高处作业必须同时办理《高处安全作业证》，进行动火作业必须同时办理《动火安全作业证》；停止作业30min后必须重新分析化验，在有填料的塔、罐等设备内作业，经分析合格开始作业后，仍需每2h分析一次。若不严格按照规定作业，存在发生火灾、爆炸或人员窒息的危险。</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（3）高处作业</w:t>
      </w:r>
    </w:p>
    <w:p>
      <w:pPr>
        <w:spacing w:line="360" w:lineRule="auto"/>
        <w:ind w:firstLine="560" w:firstLineChars="200"/>
        <w:jc w:val="left"/>
        <w:rPr>
          <w:rFonts w:hint="default"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由于部分设备较高，施工中难以避免发生高处作业，由于防护措施不到位或未按有关规定进行作业，存在施工人员发生高处坠落的危险性。</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（4）临时用电</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在施工及检维修过程中临时用电，因设备绝缘不良、线路老化、短路、防护缺陷、接地不符合要求、未正确使用劳保用品、无证上岗、违章作业、雨天作业等都有可能引发触电或电气火灾事故。</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（5）动土作业</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在动土作业前，如果对动土区域的地下设施未做详细了解，对埋在地下的光缆、危险化学品管道等危险源辨识不到位，施工人员违章作业以及地块权属和施工项目归属不统一导致安全监管不利等原因，均易引发安全事故。</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（6）吊装作业</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企业在施工土建或建筑工程时，可能使用到吊车进行吊装作业，吊装作业过程中吊具或吊装物品损坏、物件捆绑不牢、挂钩不当、起升机械的零件故障（特别是制动器失灵，钢丝绳断裂）等都会引发重物坠落。处于高位置的物体具有势能，当坠落时，势能迅速转化为动能，上吨重的吊载物意外坠落，及起重机的金属结构件破坏、坠落，都可能造成严重后果。重物坠落是起重伤害最常见的，也是最为严重的。</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（7）吹扫作业</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在检维修过程中往往由于吹扫不彻底、置换不合格，导致检维修设备和管道内残留部分可燃或有毒气体，若不严格执行检维修规程，不及时排除隐患，极易导致火灾、爆炸或人身中毒事故。</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（8）水压试验</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承压设备检修后，往往需要进行水压试验。</w:t>
      </w:r>
      <w:r>
        <w:rPr>
          <w:rFonts w:hint="default" w:ascii="Times New Roman" w:hAnsi="Times New Roman" w:eastAsia="宋体" w:cs="Times New Roman"/>
          <w:color w:val="auto"/>
          <w:kern w:val="0"/>
          <w:sz w:val="28"/>
          <w:szCs w:val="28"/>
          <w:lang w:val="en-US" w:eastAsia="zh-CN" w:bidi="ar-SA"/>
        </w:rPr>
        <w:t>用水作介质</w:t>
      </w:r>
      <w:r>
        <w:rPr>
          <w:rFonts w:hint="eastAsia" w:ascii="Times New Roman" w:hAnsi="Times New Roman" w:eastAsia="宋体" w:cs="Times New Roman"/>
          <w:color w:val="auto"/>
          <w:kern w:val="0"/>
          <w:sz w:val="28"/>
          <w:szCs w:val="28"/>
          <w:lang w:val="en-US" w:eastAsia="zh-CN" w:bidi="ar-SA"/>
        </w:rPr>
        <w:t>进行</w:t>
      </w:r>
      <w:r>
        <w:rPr>
          <w:rFonts w:hint="default" w:ascii="Times New Roman" w:hAnsi="Times New Roman" w:eastAsia="宋体" w:cs="Times New Roman"/>
          <w:color w:val="auto"/>
          <w:kern w:val="0"/>
          <w:sz w:val="28"/>
          <w:szCs w:val="28"/>
          <w:lang w:val="en-US" w:eastAsia="zh-CN" w:bidi="ar-SA"/>
        </w:rPr>
        <w:t>压力实验时</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通常用小流量的高压</w:t>
      </w:r>
      <w:r>
        <w:rPr>
          <w:rFonts w:hint="default" w:ascii="Times New Roman" w:hAnsi="Times New Roman" w:eastAsia="宋体" w:cs="Times New Roman"/>
          <w:color w:val="auto"/>
          <w:kern w:val="0"/>
          <w:sz w:val="28"/>
          <w:szCs w:val="28"/>
          <w:lang w:val="en-US" w:eastAsia="zh-CN" w:bidi="ar-SA"/>
        </w:rPr>
        <w:fldChar w:fldCharType="begin"/>
      </w:r>
      <w:r>
        <w:rPr>
          <w:rFonts w:hint="default" w:ascii="Times New Roman" w:hAnsi="Times New Roman" w:eastAsia="宋体" w:cs="Times New Roman"/>
          <w:color w:val="auto"/>
          <w:kern w:val="0"/>
          <w:sz w:val="28"/>
          <w:szCs w:val="28"/>
          <w:lang w:val="en-US" w:eastAsia="zh-CN" w:bidi="ar-SA"/>
        </w:rPr>
        <w:instrText xml:space="preserve"> HYPERLINK "http://bbs.hcbbs.com/" \t "_blank" </w:instrText>
      </w:r>
      <w:r>
        <w:rPr>
          <w:rFonts w:hint="default" w:ascii="Times New Roman" w:hAnsi="Times New Roman" w:eastAsia="宋体" w:cs="Times New Roman"/>
          <w:color w:val="auto"/>
          <w:kern w:val="0"/>
          <w:sz w:val="28"/>
          <w:szCs w:val="28"/>
          <w:lang w:val="en-US" w:eastAsia="zh-CN" w:bidi="ar-SA"/>
        </w:rPr>
        <w:fldChar w:fldCharType="separate"/>
      </w:r>
      <w:r>
        <w:rPr>
          <w:rFonts w:hint="default" w:ascii="Times New Roman" w:hAnsi="Times New Roman" w:eastAsia="宋体" w:cs="Times New Roman"/>
          <w:color w:val="auto"/>
          <w:kern w:val="0"/>
          <w:sz w:val="28"/>
          <w:szCs w:val="28"/>
          <w:lang w:val="en-US" w:eastAsia="zh-CN" w:bidi="ar-SA"/>
        </w:rPr>
        <w:t>泵</w:t>
      </w:r>
      <w:r>
        <w:rPr>
          <w:rFonts w:hint="default" w:ascii="Times New Roman" w:hAnsi="Times New Roman" w:eastAsia="宋体" w:cs="Times New Roman"/>
          <w:color w:val="auto"/>
          <w:kern w:val="0"/>
          <w:sz w:val="28"/>
          <w:szCs w:val="28"/>
          <w:lang w:val="en-US" w:eastAsia="zh-CN" w:bidi="ar-SA"/>
        </w:rPr>
        <w:fldChar w:fldCharType="end"/>
      </w:r>
      <w:r>
        <w:rPr>
          <w:rFonts w:hint="default" w:ascii="Times New Roman" w:hAnsi="Times New Roman" w:eastAsia="宋体" w:cs="Times New Roman"/>
          <w:color w:val="auto"/>
          <w:kern w:val="0"/>
          <w:sz w:val="28"/>
          <w:szCs w:val="28"/>
          <w:lang w:val="en-US" w:eastAsia="zh-CN" w:bidi="ar-SA"/>
        </w:rPr>
        <w:t>提供压力</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因为水是不可压缩的</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如果</w:t>
      </w:r>
      <w:r>
        <w:rPr>
          <w:rFonts w:hint="eastAsia" w:ascii="Times New Roman" w:hAnsi="Times New Roman" w:eastAsia="宋体" w:cs="Times New Roman"/>
          <w:color w:val="auto"/>
          <w:kern w:val="0"/>
          <w:sz w:val="28"/>
          <w:szCs w:val="28"/>
          <w:lang w:val="en-US" w:eastAsia="zh-CN" w:bidi="ar-SA"/>
        </w:rPr>
        <w:t>泄漏</w:t>
      </w:r>
      <w:r>
        <w:rPr>
          <w:rFonts w:hint="default" w:ascii="Times New Roman" w:hAnsi="Times New Roman" w:eastAsia="宋体" w:cs="Times New Roman"/>
          <w:color w:val="auto"/>
          <w:kern w:val="0"/>
          <w:sz w:val="28"/>
          <w:szCs w:val="28"/>
          <w:lang w:val="en-US" w:eastAsia="zh-CN" w:bidi="ar-SA"/>
        </w:rPr>
        <w:t>或破裂</w:t>
      </w:r>
      <w:r>
        <w:rPr>
          <w:rFonts w:hint="eastAsia" w:ascii="Times New Roman" w:hAnsi="Times New Roman" w:eastAsia="宋体" w:cs="Times New Roman"/>
          <w:color w:val="auto"/>
          <w:kern w:val="0"/>
          <w:sz w:val="28"/>
          <w:szCs w:val="28"/>
          <w:lang w:val="en-US" w:eastAsia="zh-CN" w:bidi="ar-SA"/>
        </w:rPr>
        <w:t>，泄漏</w:t>
      </w:r>
      <w:r>
        <w:rPr>
          <w:rFonts w:hint="default" w:ascii="Times New Roman" w:hAnsi="Times New Roman" w:eastAsia="宋体" w:cs="Times New Roman"/>
          <w:color w:val="auto"/>
          <w:kern w:val="0"/>
          <w:sz w:val="28"/>
          <w:szCs w:val="28"/>
          <w:lang w:val="en-US" w:eastAsia="zh-CN" w:bidi="ar-SA"/>
        </w:rPr>
        <w:t>出来</w:t>
      </w:r>
      <w:r>
        <w:rPr>
          <w:rFonts w:hint="eastAsia" w:ascii="Times New Roman" w:hAnsi="Times New Roman" w:eastAsia="宋体" w:cs="Times New Roman"/>
          <w:color w:val="auto"/>
          <w:kern w:val="0"/>
          <w:sz w:val="28"/>
          <w:szCs w:val="28"/>
          <w:lang w:val="en-US" w:eastAsia="zh-CN" w:bidi="ar-SA"/>
        </w:rPr>
        <w:t>的水</w:t>
      </w:r>
      <w:r>
        <w:rPr>
          <w:rFonts w:hint="default" w:ascii="Times New Roman" w:hAnsi="Times New Roman" w:eastAsia="宋体" w:cs="Times New Roman"/>
          <w:color w:val="auto"/>
          <w:kern w:val="0"/>
          <w:sz w:val="28"/>
          <w:szCs w:val="28"/>
          <w:lang w:val="en-US" w:eastAsia="zh-CN" w:bidi="ar-SA"/>
        </w:rPr>
        <w:t>压力迅速降低</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在高压情况下</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水通过狭缝的速度很高</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与设备和空气的摩擦会产生很多热</w:t>
      </w:r>
      <w:r>
        <w:rPr>
          <w:rFonts w:hint="eastAsia" w:ascii="Times New Roman" w:hAnsi="Times New Roman" w:eastAsia="宋体" w:cs="Times New Roman"/>
          <w:color w:val="auto"/>
          <w:kern w:val="0"/>
          <w:sz w:val="28"/>
          <w:szCs w:val="28"/>
          <w:lang w:val="en-US" w:eastAsia="zh-CN" w:bidi="ar-SA"/>
        </w:rPr>
        <w:t>量，</w:t>
      </w:r>
      <w:r>
        <w:rPr>
          <w:rFonts w:hint="default" w:ascii="Times New Roman" w:hAnsi="Times New Roman" w:eastAsia="宋体" w:cs="Times New Roman"/>
          <w:color w:val="auto"/>
          <w:kern w:val="0"/>
          <w:sz w:val="28"/>
          <w:szCs w:val="28"/>
          <w:lang w:val="en-US" w:eastAsia="zh-CN" w:bidi="ar-SA"/>
        </w:rPr>
        <w:t>因而汽化</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如果近</w:t>
      </w:r>
      <w:r>
        <w:rPr>
          <w:rFonts w:hint="eastAsia" w:ascii="Times New Roman" w:hAnsi="Times New Roman" w:eastAsia="宋体" w:cs="Times New Roman"/>
          <w:color w:val="auto"/>
          <w:kern w:val="0"/>
          <w:sz w:val="28"/>
          <w:szCs w:val="28"/>
          <w:lang w:val="en-US" w:eastAsia="zh-CN" w:bidi="ar-SA"/>
        </w:rPr>
        <w:t>距离</w:t>
      </w:r>
      <w:r>
        <w:rPr>
          <w:rFonts w:hint="default" w:ascii="Times New Roman" w:hAnsi="Times New Roman" w:eastAsia="宋体" w:cs="Times New Roman"/>
          <w:color w:val="auto"/>
          <w:kern w:val="0"/>
          <w:sz w:val="28"/>
          <w:szCs w:val="28"/>
          <w:lang w:val="en-US" w:eastAsia="zh-CN" w:bidi="ar-SA"/>
        </w:rPr>
        <w:t>接触</w:t>
      </w:r>
      <w:r>
        <w:rPr>
          <w:rFonts w:hint="eastAsia" w:ascii="Times New Roman" w:hAnsi="Times New Roman" w:eastAsia="宋体" w:cs="Times New Roman"/>
          <w:color w:val="auto"/>
          <w:kern w:val="0"/>
          <w:sz w:val="28"/>
          <w:szCs w:val="28"/>
          <w:lang w:val="en-US" w:eastAsia="zh-CN" w:bidi="ar-SA"/>
        </w:rPr>
        <w:t>泄漏</w:t>
      </w:r>
      <w:r>
        <w:rPr>
          <w:rFonts w:hint="default" w:ascii="Times New Roman" w:hAnsi="Times New Roman" w:eastAsia="宋体" w:cs="Times New Roman"/>
          <w:color w:val="auto"/>
          <w:kern w:val="0"/>
          <w:sz w:val="28"/>
          <w:szCs w:val="28"/>
          <w:lang w:val="en-US" w:eastAsia="zh-CN" w:bidi="ar-SA"/>
        </w:rPr>
        <w:t>口</w:t>
      </w:r>
      <w:r>
        <w:rPr>
          <w:rFonts w:hint="eastAsia" w:ascii="Times New Roman" w:hAnsi="Times New Roman" w:eastAsia="宋体" w:cs="Times New Roman"/>
          <w:color w:val="auto"/>
          <w:kern w:val="0"/>
          <w:sz w:val="28"/>
          <w:szCs w:val="28"/>
          <w:lang w:val="en-US" w:eastAsia="zh-CN" w:bidi="ar-SA"/>
        </w:rPr>
        <w:t>，</w:t>
      </w:r>
      <w:r>
        <w:rPr>
          <w:rFonts w:hint="default" w:ascii="Times New Roman" w:hAnsi="Times New Roman" w:eastAsia="宋体" w:cs="Times New Roman"/>
          <w:color w:val="auto"/>
          <w:kern w:val="0"/>
          <w:sz w:val="28"/>
          <w:szCs w:val="28"/>
          <w:lang w:val="en-US" w:eastAsia="zh-CN" w:bidi="ar-SA"/>
        </w:rPr>
        <w:t>高压水会象针一样注入身体</w:t>
      </w:r>
      <w:r>
        <w:rPr>
          <w:rFonts w:hint="eastAsia" w:ascii="Times New Roman" w:hAnsi="Times New Roman" w:eastAsia="宋体" w:cs="Times New Roman"/>
          <w:color w:val="auto"/>
          <w:kern w:val="0"/>
          <w:sz w:val="28"/>
          <w:szCs w:val="28"/>
          <w:lang w:val="en-US" w:eastAsia="zh-CN" w:bidi="ar-SA"/>
        </w:rPr>
        <w:t>，对人身造成伤害，</w:t>
      </w:r>
      <w:r>
        <w:rPr>
          <w:rFonts w:hint="default" w:ascii="Times New Roman" w:hAnsi="Times New Roman" w:eastAsia="宋体" w:cs="Times New Roman"/>
          <w:color w:val="auto"/>
          <w:kern w:val="0"/>
          <w:sz w:val="28"/>
          <w:szCs w:val="28"/>
          <w:lang w:val="en-US" w:eastAsia="zh-CN" w:bidi="ar-SA"/>
        </w:rPr>
        <w:t>所以</w:t>
      </w:r>
      <w:r>
        <w:rPr>
          <w:rFonts w:hint="eastAsia" w:ascii="Times New Roman" w:hAnsi="Times New Roman" w:eastAsia="宋体" w:cs="Times New Roman"/>
          <w:color w:val="auto"/>
          <w:kern w:val="0"/>
          <w:sz w:val="28"/>
          <w:szCs w:val="28"/>
          <w:lang w:val="en-US" w:eastAsia="zh-CN" w:bidi="ar-SA"/>
        </w:rPr>
        <w:t>，设备进行水压试验时</w:t>
      </w:r>
      <w:r>
        <w:rPr>
          <w:rFonts w:hint="default" w:ascii="Times New Roman" w:hAnsi="Times New Roman" w:eastAsia="宋体" w:cs="Times New Roman"/>
          <w:color w:val="auto"/>
          <w:kern w:val="0"/>
          <w:sz w:val="28"/>
          <w:szCs w:val="28"/>
          <w:lang w:val="en-US" w:eastAsia="zh-CN" w:bidi="ar-SA"/>
        </w:rPr>
        <w:t>严禁人员靠近</w:t>
      </w:r>
      <w:r>
        <w:rPr>
          <w:rFonts w:hint="eastAsia" w:ascii="Times New Roman" w:hAnsi="Times New Roman" w:eastAsia="宋体" w:cs="Times New Roman"/>
          <w:color w:val="auto"/>
          <w:kern w:val="0"/>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280" w:firstLineChars="100"/>
        <w:jc w:val="both"/>
        <w:textAlignment w:val="auto"/>
        <w:outlineLvl w:val="2"/>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附件2.8 重大危险源辨识</w:t>
      </w:r>
      <w:bookmarkEnd w:id="213"/>
      <w:bookmarkEnd w:id="214"/>
      <w:bookmarkEnd w:id="215"/>
      <w:bookmarkEnd w:id="216"/>
      <w:bookmarkEnd w:id="295"/>
      <w:bookmarkEnd w:id="296"/>
      <w:bookmarkEnd w:id="297"/>
    </w:p>
    <w:p>
      <w:pPr>
        <w:spacing w:line="360" w:lineRule="auto"/>
        <w:ind w:firstLine="560" w:firstLineChars="200"/>
        <w:jc w:val="left"/>
        <w:rPr>
          <w:rFonts w:hint="default" w:ascii="Times New Roman" w:hAnsi="Times New Roman" w:eastAsia="宋体" w:cs="Times New Roman"/>
          <w:color w:val="auto"/>
          <w:kern w:val="0"/>
          <w:sz w:val="28"/>
          <w:szCs w:val="28"/>
          <w:lang w:val="en-US" w:eastAsia="zh-CN" w:bidi="ar-SA"/>
        </w:rPr>
      </w:pPr>
      <w:r>
        <w:rPr>
          <w:rFonts w:hint="default" w:ascii="Times New Roman" w:hAnsi="Times New Roman" w:eastAsia="宋体" w:cs="Times New Roman"/>
          <w:color w:val="auto"/>
          <w:kern w:val="0"/>
          <w:sz w:val="28"/>
          <w:szCs w:val="28"/>
          <w:lang w:val="en-US" w:eastAsia="zh-CN" w:bidi="ar-SA"/>
        </w:rPr>
        <w:t>按照《危险化学品重大危险源辨识》（GB</w:t>
      </w:r>
      <w:r>
        <w:rPr>
          <w:rFonts w:hint="eastAsia" w:ascii="Times New Roman" w:hAnsi="Times New Roman" w:eastAsia="宋体" w:cs="Times New Roman"/>
          <w:color w:val="auto"/>
          <w:kern w:val="0"/>
          <w:sz w:val="28"/>
          <w:szCs w:val="28"/>
          <w:lang w:val="en-US" w:eastAsia="zh-CN" w:bidi="ar-SA"/>
        </w:rPr>
        <w:t>1</w:t>
      </w:r>
      <w:r>
        <w:rPr>
          <w:rFonts w:hint="default" w:ascii="Times New Roman" w:hAnsi="Times New Roman" w:eastAsia="宋体" w:cs="Times New Roman"/>
          <w:color w:val="auto"/>
          <w:kern w:val="0"/>
          <w:sz w:val="28"/>
          <w:szCs w:val="28"/>
          <w:lang w:val="en-US" w:eastAsia="zh-CN" w:bidi="ar-SA"/>
        </w:rPr>
        <w:t>8218-2018），重大危险源的定义为：长期地或临时地生产、储存、使用和经营危险化学品，且危险化学品数量等于或超过临界量的单元。</w:t>
      </w:r>
    </w:p>
    <w:p>
      <w:pPr>
        <w:spacing w:line="360" w:lineRule="auto"/>
        <w:ind w:firstLine="560" w:firstLineChars="200"/>
        <w:jc w:val="left"/>
        <w:rPr>
          <w:rFonts w:hint="default" w:ascii="Times New Roman" w:hAnsi="Times New Roman" w:eastAsia="宋体" w:cs="Times New Roman"/>
          <w:color w:val="auto"/>
          <w:kern w:val="0"/>
          <w:sz w:val="28"/>
          <w:szCs w:val="28"/>
          <w:lang w:val="en-US" w:eastAsia="zh-CN" w:bidi="ar-SA"/>
        </w:rPr>
      </w:pPr>
      <w:r>
        <w:rPr>
          <w:rFonts w:hint="default" w:ascii="Times New Roman" w:hAnsi="Times New Roman" w:eastAsia="宋体" w:cs="Times New Roman"/>
          <w:color w:val="auto"/>
          <w:kern w:val="0"/>
          <w:sz w:val="28"/>
          <w:szCs w:val="28"/>
          <w:lang w:val="en-US" w:eastAsia="zh-CN" w:bidi="ar-SA"/>
        </w:rPr>
        <w:t>重大危险源的辨识指标为：生产单元、</w:t>
      </w:r>
      <w:r>
        <w:rPr>
          <w:rFonts w:hint="eastAsia" w:ascii="Times New Roman" w:hAnsi="Times New Roman" w:eastAsia="宋体" w:cs="Times New Roman"/>
          <w:color w:val="auto"/>
          <w:kern w:val="0"/>
          <w:sz w:val="28"/>
          <w:szCs w:val="28"/>
          <w:lang w:val="en-US" w:eastAsia="zh-CN" w:bidi="ar-SA"/>
        </w:rPr>
        <w:t>储存单元</w:t>
      </w:r>
      <w:r>
        <w:rPr>
          <w:rFonts w:hint="default" w:ascii="Times New Roman" w:hAnsi="Times New Roman" w:eastAsia="宋体" w:cs="Times New Roman"/>
          <w:color w:val="auto"/>
          <w:kern w:val="0"/>
          <w:sz w:val="28"/>
          <w:szCs w:val="28"/>
          <w:lang w:val="en-US" w:eastAsia="zh-CN" w:bidi="ar-SA"/>
        </w:rPr>
        <w:t>内存在危险化学品的数量等于或超过其临界量，即被定为重大危险源。单元内存在的危险化学品的数量根据危险化学品种类的多少区分为以下两种情况：</w:t>
      </w:r>
    </w:p>
    <w:p>
      <w:pPr>
        <w:spacing w:line="360" w:lineRule="auto"/>
        <w:ind w:firstLine="560" w:firstLineChars="200"/>
        <w:jc w:val="left"/>
        <w:rPr>
          <w:rFonts w:hint="default" w:ascii="Times New Roman" w:hAnsi="Times New Roman" w:eastAsia="宋体" w:cs="Times New Roman"/>
          <w:color w:val="auto"/>
          <w:kern w:val="0"/>
          <w:sz w:val="28"/>
          <w:szCs w:val="28"/>
          <w:lang w:val="en-US" w:eastAsia="zh-CN" w:bidi="ar-SA"/>
        </w:rPr>
      </w:pPr>
      <w:r>
        <w:rPr>
          <w:rFonts w:hint="default" w:ascii="Times New Roman" w:hAnsi="Times New Roman" w:eastAsia="宋体" w:cs="Times New Roman"/>
          <w:color w:val="auto"/>
          <w:kern w:val="0"/>
          <w:sz w:val="28"/>
          <w:szCs w:val="28"/>
          <w:lang w:val="en-US" w:eastAsia="zh-CN" w:bidi="ar-SA"/>
        </w:rPr>
        <w:t>生产单元、</w:t>
      </w:r>
      <w:r>
        <w:rPr>
          <w:rFonts w:hint="eastAsia" w:ascii="Times New Roman" w:hAnsi="Times New Roman" w:eastAsia="宋体" w:cs="Times New Roman"/>
          <w:color w:val="auto"/>
          <w:kern w:val="0"/>
          <w:sz w:val="28"/>
          <w:szCs w:val="28"/>
          <w:lang w:val="en-US" w:eastAsia="zh-CN" w:bidi="ar-SA"/>
        </w:rPr>
        <w:t>储存单元</w:t>
      </w:r>
      <w:r>
        <w:rPr>
          <w:rFonts w:hint="default" w:ascii="Times New Roman" w:hAnsi="Times New Roman" w:eastAsia="宋体" w:cs="Times New Roman"/>
          <w:color w:val="auto"/>
          <w:kern w:val="0"/>
          <w:sz w:val="28"/>
          <w:szCs w:val="28"/>
          <w:lang w:val="en-US" w:eastAsia="zh-CN" w:bidi="ar-SA"/>
        </w:rPr>
        <w:t>内存在的危险化学品为单一品种时，该危险化学品的数量即为单元内危险化学品的总量，若等于或超过相应的临界量，则定为重大危险源。</w:t>
      </w:r>
    </w:p>
    <w:p>
      <w:pPr>
        <w:spacing w:line="360" w:lineRule="auto"/>
        <w:ind w:firstLine="560" w:firstLineChars="200"/>
        <w:jc w:val="left"/>
        <w:rPr>
          <w:rFonts w:hint="default" w:ascii="Times New Roman" w:hAnsi="Times New Roman" w:eastAsia="宋体" w:cs="Times New Roman"/>
          <w:color w:val="auto"/>
          <w:kern w:val="0"/>
          <w:sz w:val="28"/>
          <w:szCs w:val="28"/>
          <w:lang w:val="en-US" w:eastAsia="zh-CN" w:bidi="ar-SA"/>
        </w:rPr>
      </w:pPr>
      <w:r>
        <w:rPr>
          <w:rFonts w:hint="default" w:ascii="Times New Roman" w:hAnsi="Times New Roman" w:eastAsia="宋体" w:cs="Times New Roman"/>
          <w:color w:val="auto"/>
          <w:kern w:val="0"/>
          <w:sz w:val="28"/>
          <w:szCs w:val="28"/>
          <w:lang w:val="en-US" w:eastAsia="zh-CN" w:bidi="ar-SA"/>
        </w:rPr>
        <w:t>生产单元、</w:t>
      </w:r>
      <w:r>
        <w:rPr>
          <w:rFonts w:hint="eastAsia" w:ascii="Times New Roman" w:hAnsi="Times New Roman" w:eastAsia="宋体" w:cs="Times New Roman"/>
          <w:color w:val="auto"/>
          <w:kern w:val="0"/>
          <w:sz w:val="28"/>
          <w:szCs w:val="28"/>
          <w:lang w:val="en-US" w:eastAsia="zh-CN" w:bidi="ar-SA"/>
        </w:rPr>
        <w:t>储存单元</w:t>
      </w:r>
      <w:r>
        <w:rPr>
          <w:rFonts w:hint="default" w:ascii="Times New Roman" w:hAnsi="Times New Roman" w:eastAsia="宋体" w:cs="Times New Roman"/>
          <w:color w:val="auto"/>
          <w:kern w:val="0"/>
          <w:sz w:val="28"/>
          <w:szCs w:val="28"/>
          <w:lang w:val="en-US" w:eastAsia="zh-CN" w:bidi="ar-SA"/>
        </w:rPr>
        <w:t>内存在的危险化学品为多品种时，按式（1）计算，若满足式（1），则定为重大危险源：</w:t>
      </w:r>
    </w:p>
    <w:p>
      <w:pPr>
        <w:adjustRightInd w:val="0"/>
        <w:snapToGrid w:val="0"/>
        <w:spacing w:line="360" w:lineRule="auto"/>
        <w:ind w:firstLine="2800" w:firstLineChars="10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S＝</w:t>
      </w:r>
      <w:r>
        <w:rPr>
          <w:rFonts w:hint="default" w:ascii="Times New Roman" w:hAnsi="Times New Roman" w:eastAsia="宋体" w:cs="Times New Roman"/>
          <w:color w:val="auto"/>
          <w:position w:val="-30"/>
          <w:sz w:val="28"/>
          <w:szCs w:val="28"/>
        </w:rPr>
        <w:object>
          <v:shape id="_x0000_i1028" o:spt="75" type="#_x0000_t75" style="height:34.5pt;width:102.75pt;" o:ole="t" filled="f" o:preferrelative="t" stroked="f" coordsize="21600,21600">
            <v:path/>
            <v:fill on="f" focussize="0,0"/>
            <v:stroke on="f"/>
            <v:imagedata r:id="rId19" o:title=""/>
            <o:lock v:ext="edit" aspectratio="t"/>
            <w10:wrap type="none"/>
            <w10:anchorlock/>
          </v:shape>
          <o:OLEObject Type="Embed" ProgID="Equation.3" ShapeID="_x0000_i1028" DrawAspect="Content" ObjectID="_1468075728" r:id="rId18">
            <o:LockedField>false</o:LockedField>
          </o:OLEObject>
        </w:object>
      </w:r>
      <w:r>
        <w:rPr>
          <w:rFonts w:hint="default" w:ascii="Times New Roman" w:hAnsi="Times New Roman" w:eastAsia="宋体" w:cs="Times New Roman"/>
          <w:color w:val="auto"/>
          <w:sz w:val="28"/>
          <w:szCs w:val="28"/>
        </w:rPr>
        <w:t>≥1       （1）</w:t>
      </w:r>
    </w:p>
    <w:p>
      <w:pPr>
        <w:adjustRightInd w:val="0"/>
        <w:snapToGrid w:val="0"/>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式中：S  ——辨识指标；</w:t>
      </w:r>
    </w:p>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q</w:t>
      </w:r>
      <w:r>
        <w:rPr>
          <w:rFonts w:hint="default" w:ascii="Times New Roman" w:hAnsi="Times New Roman" w:eastAsia="宋体" w:cs="Times New Roman"/>
          <w:color w:val="auto"/>
          <w:sz w:val="28"/>
          <w:szCs w:val="28"/>
          <w:vertAlign w:val="subscript"/>
        </w:rPr>
        <w:t>1</w:t>
      </w:r>
      <w:r>
        <w:rPr>
          <w:rFonts w:hint="default" w:ascii="Times New Roman" w:hAnsi="Times New Roman" w:eastAsia="宋体" w:cs="Times New Roman"/>
          <w:color w:val="auto"/>
          <w:sz w:val="28"/>
          <w:szCs w:val="28"/>
        </w:rPr>
        <w:t>,q</w:t>
      </w:r>
      <w:r>
        <w:rPr>
          <w:rFonts w:hint="default" w:ascii="Times New Roman" w:hAnsi="Times New Roman" w:eastAsia="宋体" w:cs="Times New Roman"/>
          <w:color w:val="auto"/>
          <w:sz w:val="28"/>
          <w:szCs w:val="28"/>
          <w:vertAlign w:val="subscript"/>
        </w:rPr>
        <w:t>2</w:t>
      </w:r>
      <w:r>
        <w:rPr>
          <w:rFonts w:hint="default" w:ascii="Times New Roman" w:hAnsi="Times New Roman" w:eastAsia="宋体" w:cs="Times New Roman"/>
          <w:color w:val="auto"/>
          <w:sz w:val="28"/>
          <w:szCs w:val="28"/>
        </w:rPr>
        <w:t>,…,q</w:t>
      </w:r>
      <w:r>
        <w:rPr>
          <w:rFonts w:hint="default" w:ascii="Times New Roman" w:hAnsi="Times New Roman" w:eastAsia="宋体" w:cs="Times New Roman"/>
          <w:color w:val="auto"/>
          <w:sz w:val="28"/>
          <w:szCs w:val="28"/>
          <w:vertAlign w:val="subscript"/>
        </w:rPr>
        <w:t xml:space="preserve">n </w:t>
      </w:r>
      <w:r>
        <w:rPr>
          <w:rFonts w:hint="default" w:ascii="Times New Roman" w:hAnsi="Times New Roman" w:eastAsia="宋体" w:cs="Times New Roman"/>
          <w:color w:val="auto"/>
          <w:sz w:val="28"/>
          <w:szCs w:val="28"/>
        </w:rPr>
        <w:t>——每种危险化学品的实际存在量，单位为吨（t）。</w:t>
      </w:r>
    </w:p>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Q</w:t>
      </w:r>
      <w:r>
        <w:rPr>
          <w:rFonts w:hint="default" w:ascii="Times New Roman" w:hAnsi="Times New Roman" w:eastAsia="宋体" w:cs="Times New Roman"/>
          <w:color w:val="auto"/>
          <w:sz w:val="28"/>
          <w:szCs w:val="28"/>
          <w:vertAlign w:val="subscript"/>
        </w:rPr>
        <w:t>1</w:t>
      </w:r>
      <w:r>
        <w:rPr>
          <w:rFonts w:hint="default" w:ascii="Times New Roman" w:hAnsi="Times New Roman" w:eastAsia="宋体" w:cs="Times New Roman"/>
          <w:color w:val="auto"/>
          <w:sz w:val="28"/>
          <w:szCs w:val="28"/>
        </w:rPr>
        <w:t>,Q</w:t>
      </w:r>
      <w:r>
        <w:rPr>
          <w:rFonts w:hint="default" w:ascii="Times New Roman" w:hAnsi="Times New Roman" w:eastAsia="宋体" w:cs="Times New Roman"/>
          <w:color w:val="auto"/>
          <w:sz w:val="28"/>
          <w:szCs w:val="28"/>
          <w:vertAlign w:val="subscript"/>
        </w:rPr>
        <w:t>2</w:t>
      </w:r>
      <w:r>
        <w:rPr>
          <w:rFonts w:hint="default" w:ascii="Times New Roman" w:hAnsi="Times New Roman" w:eastAsia="宋体" w:cs="Times New Roman"/>
          <w:color w:val="auto"/>
          <w:sz w:val="28"/>
          <w:szCs w:val="28"/>
        </w:rPr>
        <w:t>,…,Q</w:t>
      </w:r>
      <w:r>
        <w:rPr>
          <w:rFonts w:hint="default" w:ascii="Times New Roman" w:hAnsi="Times New Roman" w:eastAsia="宋体" w:cs="Times New Roman"/>
          <w:color w:val="auto"/>
          <w:sz w:val="28"/>
          <w:szCs w:val="28"/>
          <w:vertAlign w:val="subscript"/>
        </w:rPr>
        <w:t>n</w:t>
      </w:r>
      <w:r>
        <w:rPr>
          <w:rFonts w:hint="default" w:ascii="Times New Roman" w:hAnsi="Times New Roman" w:eastAsia="宋体" w:cs="Times New Roman"/>
          <w:color w:val="auto"/>
          <w:sz w:val="28"/>
          <w:szCs w:val="28"/>
        </w:rPr>
        <w:t>——与每种危险化学品相对应的临界量，单位为吨（t）。</w:t>
      </w:r>
    </w:p>
    <w:p>
      <w:pPr>
        <w:spacing w:line="360" w:lineRule="auto"/>
        <w:ind w:firstLine="560" w:firstLineChars="200"/>
        <w:jc w:val="left"/>
        <w:rPr>
          <w:rFonts w:hint="default" w:ascii="Times New Roman" w:hAnsi="Times New Roman" w:eastAsia="宋体" w:cs="Times New Roman"/>
          <w:color w:val="auto"/>
          <w:kern w:val="0"/>
          <w:sz w:val="28"/>
          <w:szCs w:val="28"/>
          <w:lang w:val="en-US" w:eastAsia="zh-CN" w:bidi="ar-SA"/>
        </w:rPr>
      </w:pPr>
      <w:bookmarkStart w:id="341" w:name="_Toc21873_WPSOffice_Level2"/>
      <w:bookmarkStart w:id="342" w:name="_Toc19865_WPSOffice_Level1"/>
      <w:r>
        <w:rPr>
          <w:rFonts w:hint="default" w:ascii="Times New Roman" w:hAnsi="Times New Roman" w:eastAsia="宋体" w:cs="Times New Roman"/>
          <w:color w:val="auto"/>
          <w:kern w:val="0"/>
          <w:sz w:val="28"/>
          <w:szCs w:val="28"/>
          <w:lang w:val="en-US" w:eastAsia="zh-CN" w:bidi="ar-SA"/>
        </w:rPr>
        <w:t>（1）辨识单元的划分</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生产单元：危险化学品的生产、加工及使用等的装置及设施，当装置及设施之间有切断阀时，以切断阀作为分隔界限划分为独立的单元。</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储存单元：用于储存危险化学品的储罐或仓库组成的相对独立的区域，储罐区以罐区防火堤为界限划分为独立的单元，仓库以独立库房（独立建筑物）为界限划分为独立的单元。</w:t>
      </w:r>
    </w:p>
    <w:p>
      <w:pPr>
        <w:pStyle w:val="71"/>
        <w:spacing w:line="360" w:lineRule="auto"/>
        <w:ind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该企业危险化学品糠醛</w:t>
      </w:r>
      <w:r>
        <w:rPr>
          <w:rFonts w:hint="default" w:ascii="Times New Roman" w:hAnsi="Times New Roman" w:eastAsia="宋体" w:cs="Times New Roman"/>
          <w:sz w:val="28"/>
          <w:szCs w:val="28"/>
          <w:lang w:eastAsia="zh-CN"/>
        </w:rPr>
        <w:t>和柴油</w:t>
      </w:r>
      <w:r>
        <w:rPr>
          <w:rFonts w:hint="default" w:ascii="Times New Roman" w:hAnsi="Times New Roman" w:eastAsia="宋体" w:cs="Times New Roman"/>
          <w:sz w:val="28"/>
          <w:szCs w:val="28"/>
        </w:rPr>
        <w:t>列入重大危险源辨识范围，</w:t>
      </w:r>
      <w:r>
        <w:rPr>
          <w:rFonts w:hint="default" w:ascii="Times New Roman" w:hAnsi="Times New Roman" w:eastAsia="宋体" w:cs="Times New Roman"/>
          <w:sz w:val="28"/>
          <w:szCs w:val="28"/>
          <w:lang w:eastAsia="zh-CN"/>
        </w:rPr>
        <w:t>将柴油发电机间划分为生产单元</w:t>
      </w:r>
      <w:r>
        <w:rPr>
          <w:rFonts w:hint="default" w:ascii="Times New Roman" w:hAnsi="Times New Roman" w:eastAsia="宋体" w:cs="Times New Roman"/>
          <w:sz w:val="28"/>
          <w:szCs w:val="28"/>
          <w:lang w:val="en-US" w:eastAsia="zh-CN"/>
        </w:rPr>
        <w:t>1，</w:t>
      </w:r>
      <w:r>
        <w:rPr>
          <w:rFonts w:hint="default" w:ascii="Times New Roman" w:hAnsi="Times New Roman" w:eastAsia="宋体" w:cs="Times New Roman"/>
          <w:sz w:val="28"/>
          <w:szCs w:val="28"/>
        </w:rPr>
        <w:t>将生产车间划分为生产单元</w:t>
      </w:r>
      <w:r>
        <w:rPr>
          <w:rFonts w:hint="default" w:ascii="Times New Roman" w:hAnsi="Times New Roman" w:eastAsia="宋体" w:cs="Times New Roman"/>
          <w:sz w:val="28"/>
          <w:szCs w:val="28"/>
          <w:lang w:val="en-US" w:eastAsia="zh-CN"/>
        </w:rPr>
        <w:t>2</w:t>
      </w:r>
      <w:r>
        <w:rPr>
          <w:rFonts w:hint="default" w:ascii="Times New Roman" w:hAnsi="Times New Roman" w:eastAsia="宋体" w:cs="Times New Roman"/>
          <w:sz w:val="28"/>
          <w:szCs w:val="28"/>
        </w:rPr>
        <w:t>，将储罐区划分为储存单元。</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（2）危险化学品重大危险源辨识</w:t>
      </w:r>
    </w:p>
    <w:p>
      <w:pPr>
        <w:keepNext w:val="0"/>
        <w:keepLines w:val="0"/>
        <w:pageBreakBefore w:val="0"/>
        <w:widowControl w:val="0"/>
        <w:kinsoku/>
        <w:wordWrap/>
        <w:overflowPunct/>
        <w:topLinePunct w:val="0"/>
        <w:autoSpaceDE/>
        <w:autoSpaceDN/>
        <w:bidi w:val="0"/>
        <w:snapToGrid/>
        <w:spacing w:line="360" w:lineRule="auto"/>
        <w:ind w:firstLine="560" w:firstLineChars="200"/>
        <w:jc w:val="left"/>
        <w:textAlignment w:val="auto"/>
        <w:rPr>
          <w:rFonts w:hint="eastAsia" w:ascii="Times New Roman" w:hAnsi="Times New Roman" w:eastAsia="宋体" w:cs="Times New Roman"/>
          <w:color w:val="auto"/>
          <w:kern w:val="0"/>
          <w:sz w:val="28"/>
          <w:szCs w:val="28"/>
          <w:lang w:val="en-US" w:eastAsia="zh-CN" w:bidi="ar-SA"/>
        </w:rPr>
      </w:pPr>
      <w:r>
        <w:rPr>
          <w:rFonts w:hint="default" w:ascii="Times New Roman" w:hAnsi="Times New Roman" w:eastAsia="宋体" w:cs="Times New Roman"/>
          <w:sz w:val="28"/>
          <w:szCs w:val="28"/>
          <w:lang w:eastAsia="zh-CN"/>
        </w:rPr>
        <w:t>①生产单元</w:t>
      </w:r>
      <w:r>
        <w:rPr>
          <w:rFonts w:hint="default" w:ascii="Times New Roman" w:hAnsi="Times New Roman" w:eastAsia="宋体" w:cs="Times New Roman"/>
          <w:sz w:val="28"/>
          <w:szCs w:val="28"/>
          <w:lang w:val="en-US" w:eastAsia="zh-CN"/>
        </w:rPr>
        <w:t>1</w:t>
      </w:r>
      <w:r>
        <w:rPr>
          <w:rFonts w:hint="eastAsia" w:ascii="Times New Roman" w:hAnsi="Times New Roman" w:eastAsia="宋体" w:cs="Times New Roman"/>
          <w:color w:val="auto"/>
          <w:kern w:val="0"/>
          <w:sz w:val="28"/>
          <w:szCs w:val="28"/>
          <w:lang w:val="en-US" w:eastAsia="zh-CN" w:bidi="ar-SA"/>
        </w:rPr>
        <w:t>重大危险源辨识：</w:t>
      </w:r>
    </w:p>
    <w:p>
      <w:pPr>
        <w:keepNext w:val="0"/>
        <w:keepLines w:val="0"/>
        <w:pageBreakBefore w:val="0"/>
        <w:widowControl w:val="0"/>
        <w:kinsoku/>
        <w:wordWrap/>
        <w:overflowPunct/>
        <w:topLinePunct w:val="0"/>
        <w:autoSpaceDE/>
        <w:autoSpaceDN/>
        <w:bidi w:val="0"/>
        <w:snapToGrid/>
        <w:spacing w:line="360" w:lineRule="auto"/>
        <w:ind w:firstLine="560" w:firstLineChars="200"/>
        <w:jc w:val="left"/>
        <w:textAlignment w:val="auto"/>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sz w:val="28"/>
          <w:lang w:val="en-US" w:eastAsia="zh-CN"/>
        </w:rPr>
        <w:t>柴油发电机作为消防备用电源，仅使用发电机油箱内的柴油，不另设储存间或储存设施，故</w:t>
      </w:r>
      <w:r>
        <w:rPr>
          <w:rFonts w:hint="eastAsia" w:ascii="Times New Roman" w:hAnsi="Times New Roman" w:eastAsia="宋体" w:cs="Times New Roman"/>
          <w:sz w:val="28"/>
          <w:lang w:val="zh-CN" w:eastAsia="zh-CN"/>
        </w:rPr>
        <w:t>生产单元</w:t>
      </w:r>
      <w:r>
        <w:rPr>
          <w:rFonts w:hint="eastAsia" w:ascii="Times New Roman" w:hAnsi="Times New Roman" w:eastAsia="宋体" w:cs="Times New Roman"/>
          <w:sz w:val="28"/>
          <w:lang w:val="en-US" w:eastAsia="zh-CN"/>
        </w:rPr>
        <w:t>1内柴油储存量远小于</w:t>
      </w:r>
      <w:r>
        <w:rPr>
          <w:rFonts w:hint="eastAsia" w:ascii="Times New Roman" w:hAnsi="Times New Roman" w:eastAsia="宋体" w:cs="Times New Roman"/>
          <w:sz w:val="28"/>
          <w:lang w:val="zh-CN" w:eastAsia="zh-CN"/>
        </w:rPr>
        <w:t>其</w:t>
      </w:r>
      <w:r>
        <w:rPr>
          <w:rFonts w:hint="eastAsia" w:ascii="Times New Roman" w:hAnsi="Times New Roman" w:eastAsia="宋体" w:cs="Times New Roman"/>
          <w:sz w:val="28"/>
          <w:lang w:val="en-US" w:eastAsia="zh-CN"/>
        </w:rPr>
        <w:t>临界值5000t，故</w:t>
      </w:r>
      <w:r>
        <w:rPr>
          <w:rFonts w:hint="eastAsia" w:ascii="Times New Roman" w:hAnsi="Times New Roman" w:eastAsia="宋体" w:cs="Times New Roman"/>
          <w:sz w:val="28"/>
          <w:lang w:val="zh-CN" w:eastAsia="zh-CN"/>
        </w:rPr>
        <w:t>生产单元</w:t>
      </w:r>
      <w:r>
        <w:rPr>
          <w:rFonts w:hint="eastAsia" w:ascii="Times New Roman" w:hAnsi="Times New Roman" w:eastAsia="宋体" w:cs="Times New Roman"/>
          <w:sz w:val="28"/>
          <w:lang w:val="en-US" w:eastAsia="zh-CN"/>
        </w:rPr>
        <w:t>1不构成</w:t>
      </w:r>
      <w:r>
        <w:rPr>
          <w:rFonts w:hint="eastAsia" w:ascii="Times New Roman" w:hAnsi="Times New Roman" w:eastAsia="宋体" w:cs="Times New Roman"/>
          <w:sz w:val="28"/>
          <w:lang w:val="zh-CN" w:eastAsia="zh-CN"/>
        </w:rPr>
        <w:t>危险化学品重大危险源</w:t>
      </w:r>
      <w:r>
        <w:rPr>
          <w:rFonts w:hint="eastAsia" w:ascii="Times New Roman" w:hAnsi="Times New Roman" w:eastAsia="宋体" w:cs="Times New Roman"/>
          <w:sz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②</w:t>
      </w:r>
      <w:r>
        <w:rPr>
          <w:rFonts w:hint="default" w:ascii="Times New Roman" w:hAnsi="Times New Roman" w:eastAsia="宋体" w:cs="Times New Roman"/>
          <w:sz w:val="28"/>
          <w:szCs w:val="28"/>
          <w:lang w:eastAsia="zh-CN"/>
        </w:rPr>
        <w:t>生产</w:t>
      </w:r>
      <w:r>
        <w:rPr>
          <w:rFonts w:hint="eastAsia" w:ascii="Times New Roman" w:hAnsi="Times New Roman" w:eastAsia="宋体" w:cs="Times New Roman"/>
          <w:color w:val="auto"/>
          <w:kern w:val="0"/>
          <w:sz w:val="28"/>
          <w:szCs w:val="28"/>
          <w:lang w:val="en-US" w:eastAsia="zh-CN" w:bidi="ar-SA"/>
        </w:rPr>
        <w:t>单元</w:t>
      </w:r>
      <w:r>
        <w:rPr>
          <w:rFonts w:hint="eastAsia" w:cs="Times New Roman"/>
          <w:color w:val="auto"/>
          <w:kern w:val="0"/>
          <w:sz w:val="28"/>
          <w:szCs w:val="28"/>
          <w:lang w:val="en-US" w:eastAsia="zh-CN" w:bidi="ar-SA"/>
        </w:rPr>
        <w:t>2和</w:t>
      </w:r>
      <w:r>
        <w:rPr>
          <w:rFonts w:hint="default" w:ascii="Times New Roman" w:hAnsi="Times New Roman" w:eastAsia="宋体" w:cs="Times New Roman"/>
          <w:sz w:val="28"/>
          <w:szCs w:val="28"/>
        </w:rPr>
        <w:t>储存单元</w:t>
      </w:r>
      <w:r>
        <w:rPr>
          <w:rFonts w:hint="eastAsia" w:ascii="Times New Roman" w:hAnsi="Times New Roman" w:eastAsia="宋体" w:cs="Times New Roman"/>
          <w:sz w:val="28"/>
          <w:szCs w:val="28"/>
          <w:lang w:eastAsia="zh-CN"/>
        </w:rPr>
        <w:t>的</w:t>
      </w:r>
      <w:r>
        <w:rPr>
          <w:rFonts w:hint="eastAsia" w:ascii="Times New Roman" w:hAnsi="Times New Roman" w:eastAsia="宋体" w:cs="Times New Roman"/>
          <w:color w:val="auto"/>
          <w:kern w:val="0"/>
          <w:sz w:val="28"/>
          <w:szCs w:val="28"/>
          <w:lang w:val="en-US" w:eastAsia="zh-CN" w:bidi="ar-SA"/>
        </w:rPr>
        <w:t>重大危险源辨识</w:t>
      </w:r>
      <w:r>
        <w:rPr>
          <w:rFonts w:hint="eastAsia" w:cs="Times New Roman"/>
          <w:color w:val="auto"/>
          <w:kern w:val="0"/>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lang w:val="en-US" w:eastAsia="zh-CN"/>
        </w:rPr>
      </w:pPr>
      <w:r>
        <w:rPr>
          <w:rFonts w:hint="eastAsia" w:ascii="Times New Roman" w:hAnsi="Times New Roman" w:eastAsia="黑体" w:cs="Times New Roman"/>
          <w:b w:val="0"/>
          <w:bCs w:val="0"/>
          <w:color w:val="000000"/>
          <w:kern w:val="28"/>
          <w:sz w:val="21"/>
          <w:szCs w:val="21"/>
          <w:lang w:val="en-US" w:eastAsia="zh-CN" w:bidi="ar-SA"/>
        </w:rPr>
        <w:t>附表2.8</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1 各单元危险化学品储量明细表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576"/>
        <w:gridCol w:w="1100"/>
        <w:gridCol w:w="1634"/>
        <w:gridCol w:w="1111"/>
        <w:gridCol w:w="1321"/>
        <w:gridCol w:w="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kern w:val="2"/>
                <w:sz w:val="21"/>
                <w:szCs w:val="21"/>
                <w:lang w:val="en-US" w:eastAsia="zh-CN" w:bidi="ar-SA"/>
              </w:rPr>
              <w:t>所在区域</w:t>
            </w:r>
          </w:p>
        </w:tc>
        <w:tc>
          <w:tcPr>
            <w:tcW w:w="1576"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kern w:val="2"/>
                <w:sz w:val="21"/>
                <w:szCs w:val="21"/>
                <w:lang w:val="en-US" w:eastAsia="zh-CN" w:bidi="ar-SA"/>
              </w:rPr>
              <w:t>设备名称</w:t>
            </w:r>
          </w:p>
        </w:tc>
        <w:tc>
          <w:tcPr>
            <w:tcW w:w="1100"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kern w:val="2"/>
                <w:sz w:val="21"/>
                <w:szCs w:val="21"/>
                <w:lang w:val="en-US" w:eastAsia="zh-CN" w:bidi="ar-SA"/>
              </w:rPr>
              <w:t>设备容积（m</w:t>
            </w:r>
            <w:r>
              <w:rPr>
                <w:rFonts w:hint="default" w:ascii="Times New Roman" w:hAnsi="Times New Roman" w:eastAsia="宋体" w:cs="Times New Roman"/>
                <w:b/>
                <w:bCs w:val="0"/>
                <w:kern w:val="2"/>
                <w:sz w:val="21"/>
                <w:szCs w:val="21"/>
                <w:vertAlign w:val="superscript"/>
                <w:lang w:val="en-US" w:eastAsia="zh-CN" w:bidi="ar-SA"/>
              </w:rPr>
              <w:t>3</w:t>
            </w:r>
            <w:r>
              <w:rPr>
                <w:rFonts w:hint="default" w:ascii="Times New Roman" w:hAnsi="Times New Roman" w:eastAsia="宋体" w:cs="Times New Roman"/>
                <w:b/>
                <w:bCs w:val="0"/>
                <w:kern w:val="2"/>
                <w:sz w:val="21"/>
                <w:szCs w:val="21"/>
                <w:lang w:val="en-US" w:eastAsia="zh-CN" w:bidi="ar-SA"/>
              </w:rPr>
              <w:t>）</w:t>
            </w:r>
          </w:p>
        </w:tc>
        <w:tc>
          <w:tcPr>
            <w:tcW w:w="1634"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kern w:val="2"/>
                <w:sz w:val="21"/>
                <w:szCs w:val="21"/>
                <w:lang w:val="en-US" w:eastAsia="zh-CN" w:bidi="ar-SA"/>
              </w:rPr>
              <w:t>操作</w:t>
            </w:r>
            <w:r>
              <w:rPr>
                <w:rFonts w:hint="eastAsia" w:ascii="Times New Roman" w:hAnsi="Times New Roman" w:eastAsia="宋体" w:cs="Times New Roman"/>
                <w:b/>
                <w:bCs w:val="0"/>
                <w:kern w:val="2"/>
                <w:sz w:val="21"/>
                <w:szCs w:val="21"/>
                <w:lang w:val="en-US" w:eastAsia="zh-CN" w:bidi="ar-SA"/>
              </w:rPr>
              <w:t>条件</w:t>
            </w:r>
          </w:p>
        </w:tc>
        <w:tc>
          <w:tcPr>
            <w:tcW w:w="1111"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kern w:val="2"/>
                <w:sz w:val="21"/>
                <w:szCs w:val="21"/>
                <w:lang w:val="en-US" w:eastAsia="zh-CN" w:bidi="ar-SA"/>
              </w:rPr>
              <w:t>设备数量（台/座）</w:t>
            </w:r>
          </w:p>
        </w:tc>
        <w:tc>
          <w:tcPr>
            <w:tcW w:w="1321"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kern w:val="2"/>
                <w:sz w:val="21"/>
                <w:szCs w:val="21"/>
                <w:lang w:val="en-US" w:eastAsia="zh-CN" w:bidi="ar-SA"/>
              </w:rPr>
              <w:t>糠醛最大存在量（t）</w:t>
            </w:r>
          </w:p>
        </w:tc>
        <w:tc>
          <w:tcPr>
            <w:tcW w:w="951" w:type="dxa"/>
            <w:noWrap w:val="0"/>
            <w:vAlign w:val="center"/>
          </w:tcPr>
          <w:p>
            <w:pPr>
              <w:widowControl w:val="0"/>
              <w:spacing w:line="240" w:lineRule="auto"/>
              <w:jc w:val="center"/>
              <w:rPr>
                <w:rFonts w:hint="default" w:ascii="Times New Roman" w:hAnsi="Times New Roman" w:eastAsia="宋体" w:cs="Times New Roman"/>
                <w:b/>
                <w:bCs w:val="0"/>
                <w:kern w:val="2"/>
                <w:sz w:val="21"/>
                <w:szCs w:val="21"/>
                <w:lang w:val="en-US" w:eastAsia="zh-CN" w:bidi="ar-SA"/>
              </w:rPr>
            </w:pPr>
            <w:r>
              <w:rPr>
                <w:rFonts w:hint="eastAsia" w:cs="Times New Roman"/>
                <w:b/>
                <w:bCs w:val="0"/>
                <w:kern w:val="2"/>
                <w:sz w:val="21"/>
                <w:szCs w:val="21"/>
                <w:lang w:val="en-US" w:eastAsia="zh-CN" w:bidi="ar-SA"/>
              </w:rPr>
              <w:t>临界量</w:t>
            </w:r>
            <w:r>
              <w:rPr>
                <w:rFonts w:hint="default" w:ascii="Times New Roman" w:hAnsi="Times New Roman" w:eastAsia="宋体" w:cs="Times New Roman"/>
                <w:b/>
                <w:bCs w:val="0"/>
                <w:kern w:val="2"/>
                <w:sz w:val="21"/>
                <w:szCs w:val="21"/>
                <w:lang w:val="en-US" w:eastAsia="zh-CN" w:bidi="ar-SA"/>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vMerge w:val="restart"/>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生产单元</w:t>
            </w:r>
          </w:p>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w:t>
            </w:r>
            <w:r>
              <w:rPr>
                <w:rFonts w:hint="default" w:ascii="Times New Roman" w:hAnsi="Times New Roman" w:eastAsia="宋体" w:cs="Times New Roman"/>
                <w:bCs/>
                <w:kern w:val="2"/>
                <w:sz w:val="21"/>
                <w:szCs w:val="21"/>
                <w:lang w:val="en-US" w:eastAsia="zh-CN" w:bidi="ar-SA"/>
              </w:rPr>
              <w:t>生产车间</w:t>
            </w:r>
            <w:r>
              <w:rPr>
                <w:rFonts w:hint="eastAsia" w:cs="Times New Roman"/>
                <w:bCs/>
                <w:kern w:val="2"/>
                <w:sz w:val="21"/>
                <w:szCs w:val="21"/>
                <w:lang w:val="en-US" w:eastAsia="zh-CN" w:bidi="ar-SA"/>
              </w:rPr>
              <w:t>）</w:t>
            </w:r>
          </w:p>
        </w:tc>
        <w:tc>
          <w:tcPr>
            <w:tcW w:w="1576"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毛醛计量罐（80%-85%）</w:t>
            </w:r>
          </w:p>
        </w:tc>
        <w:tc>
          <w:tcPr>
            <w:tcW w:w="1100"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9.9</w:t>
            </w:r>
          </w:p>
        </w:tc>
        <w:tc>
          <w:tcPr>
            <w:tcW w:w="1634"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常温</w:t>
            </w:r>
            <w:r>
              <w:rPr>
                <w:rFonts w:hint="eastAsia" w:ascii="Times New Roman" w:hAnsi="Times New Roman" w:eastAsia="宋体" w:cs="Times New Roman"/>
                <w:bCs/>
                <w:kern w:val="2"/>
                <w:sz w:val="21"/>
                <w:szCs w:val="21"/>
                <w:lang w:val="en-US" w:eastAsia="zh-CN" w:bidi="ar-SA"/>
              </w:rPr>
              <w:t>，常压</w:t>
            </w:r>
          </w:p>
        </w:tc>
        <w:tc>
          <w:tcPr>
            <w:tcW w:w="111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1</w:t>
            </w:r>
          </w:p>
        </w:tc>
        <w:tc>
          <w:tcPr>
            <w:tcW w:w="132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11.484</w:t>
            </w:r>
          </w:p>
        </w:tc>
        <w:tc>
          <w:tcPr>
            <w:tcW w:w="95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vMerge w:val="continue"/>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p>
        </w:tc>
        <w:tc>
          <w:tcPr>
            <w:tcW w:w="1576"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精馏塔</w:t>
            </w:r>
          </w:p>
        </w:tc>
        <w:tc>
          <w:tcPr>
            <w:tcW w:w="1100"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3.8</w:t>
            </w:r>
          </w:p>
        </w:tc>
        <w:tc>
          <w:tcPr>
            <w:tcW w:w="1634"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10</w:t>
            </w:r>
            <w:r>
              <w:rPr>
                <w:rFonts w:hint="eastAsia" w:ascii="Times New Roman" w:hAnsi="Times New Roman" w:eastAsia="宋体" w:cs="Times New Roman"/>
                <w:bCs/>
                <w:kern w:val="2"/>
                <w:sz w:val="21"/>
                <w:szCs w:val="21"/>
                <w:lang w:val="en-US" w:eastAsia="zh-CN" w:bidi="ar-SA"/>
              </w:rPr>
              <w:t>0</w:t>
            </w:r>
            <w:r>
              <w:rPr>
                <w:rFonts w:hint="default" w:ascii="Times New Roman" w:hAnsi="Times New Roman" w:eastAsia="宋体" w:cs="Times New Roman"/>
                <w:bCs/>
                <w:kern w:val="2"/>
                <w:sz w:val="21"/>
                <w:szCs w:val="21"/>
                <w:lang w:val="en-US" w:eastAsia="zh-CN" w:bidi="ar-SA"/>
              </w:rPr>
              <w:t>℃</w:t>
            </w:r>
            <w:r>
              <w:rPr>
                <w:rFonts w:hint="eastAsia" w:ascii="Times New Roman" w:hAnsi="Times New Roman" w:eastAsia="宋体" w:cs="Times New Roman"/>
                <w:bCs/>
                <w:kern w:val="2"/>
                <w:sz w:val="21"/>
                <w:szCs w:val="21"/>
                <w:lang w:val="en-US" w:eastAsia="zh-CN" w:bidi="ar-SA"/>
              </w:rPr>
              <w:t>，常</w:t>
            </w:r>
            <w:r>
              <w:rPr>
                <w:rFonts w:hint="default" w:ascii="Times New Roman" w:hAnsi="Times New Roman" w:eastAsia="宋体" w:cs="Times New Roman"/>
                <w:bCs/>
                <w:kern w:val="2"/>
                <w:sz w:val="21"/>
                <w:szCs w:val="21"/>
                <w:lang w:val="en-US" w:eastAsia="zh-CN" w:bidi="ar-SA"/>
              </w:rPr>
              <w:t>压</w:t>
            </w:r>
          </w:p>
        </w:tc>
        <w:tc>
          <w:tcPr>
            <w:tcW w:w="111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1</w:t>
            </w:r>
          </w:p>
        </w:tc>
        <w:tc>
          <w:tcPr>
            <w:tcW w:w="132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4.4</w:t>
            </w:r>
          </w:p>
        </w:tc>
        <w:tc>
          <w:tcPr>
            <w:tcW w:w="95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vMerge w:val="continue"/>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p>
        </w:tc>
        <w:tc>
          <w:tcPr>
            <w:tcW w:w="1576"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精醛罐</w:t>
            </w:r>
          </w:p>
        </w:tc>
        <w:tc>
          <w:tcPr>
            <w:tcW w:w="1100"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1</w:t>
            </w:r>
          </w:p>
        </w:tc>
        <w:tc>
          <w:tcPr>
            <w:tcW w:w="1634"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常温</w:t>
            </w:r>
            <w:r>
              <w:rPr>
                <w:rFonts w:hint="eastAsia" w:ascii="Times New Roman" w:hAnsi="Times New Roman" w:eastAsia="宋体" w:cs="Times New Roman"/>
                <w:bCs/>
                <w:kern w:val="2"/>
                <w:sz w:val="21"/>
                <w:szCs w:val="21"/>
                <w:lang w:val="en-US" w:eastAsia="zh-CN" w:bidi="ar-SA"/>
              </w:rPr>
              <w:t>，-0.9MPa</w:t>
            </w:r>
          </w:p>
        </w:tc>
        <w:tc>
          <w:tcPr>
            <w:tcW w:w="111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3</w:t>
            </w:r>
          </w:p>
        </w:tc>
        <w:tc>
          <w:tcPr>
            <w:tcW w:w="132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3.48</w:t>
            </w:r>
          </w:p>
        </w:tc>
        <w:tc>
          <w:tcPr>
            <w:tcW w:w="95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vMerge w:val="continue"/>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p>
        </w:tc>
        <w:tc>
          <w:tcPr>
            <w:tcW w:w="1576"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毛醛</w:t>
            </w:r>
            <w:r>
              <w:rPr>
                <w:rFonts w:hint="eastAsia" w:ascii="Times New Roman" w:hAnsi="Times New Roman" w:eastAsia="宋体" w:cs="Times New Roman"/>
                <w:bCs/>
                <w:kern w:val="2"/>
                <w:sz w:val="21"/>
                <w:szCs w:val="21"/>
                <w:lang w:val="en-US" w:eastAsia="zh-CN" w:bidi="ar-SA"/>
              </w:rPr>
              <w:t>暂存</w:t>
            </w:r>
            <w:r>
              <w:rPr>
                <w:rFonts w:hint="default" w:ascii="Times New Roman" w:hAnsi="Times New Roman" w:eastAsia="宋体" w:cs="Times New Roman"/>
                <w:bCs/>
                <w:kern w:val="2"/>
                <w:sz w:val="21"/>
                <w:szCs w:val="21"/>
                <w:lang w:val="en-US" w:eastAsia="zh-CN" w:bidi="ar-SA"/>
              </w:rPr>
              <w:t>罐</w:t>
            </w:r>
          </w:p>
        </w:tc>
        <w:tc>
          <w:tcPr>
            <w:tcW w:w="1100"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4</w:t>
            </w:r>
          </w:p>
        </w:tc>
        <w:tc>
          <w:tcPr>
            <w:tcW w:w="1634"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常温</w:t>
            </w:r>
            <w:r>
              <w:rPr>
                <w:rFonts w:hint="eastAsia" w:ascii="Times New Roman" w:hAnsi="Times New Roman" w:eastAsia="宋体" w:cs="Times New Roman"/>
                <w:bCs/>
                <w:kern w:val="2"/>
                <w:sz w:val="21"/>
                <w:szCs w:val="21"/>
                <w:lang w:val="en-US" w:eastAsia="zh-CN" w:bidi="ar-SA"/>
              </w:rPr>
              <w:t>，常压</w:t>
            </w:r>
          </w:p>
        </w:tc>
        <w:tc>
          <w:tcPr>
            <w:tcW w:w="111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1</w:t>
            </w:r>
          </w:p>
        </w:tc>
        <w:tc>
          <w:tcPr>
            <w:tcW w:w="132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4.64</w:t>
            </w:r>
          </w:p>
        </w:tc>
        <w:tc>
          <w:tcPr>
            <w:tcW w:w="95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vMerge w:val="restart"/>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储存单元</w:t>
            </w:r>
          </w:p>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w:t>
            </w:r>
            <w:r>
              <w:rPr>
                <w:rFonts w:hint="eastAsia" w:ascii="Times New Roman" w:hAnsi="Times New Roman" w:eastAsia="宋体" w:cs="Times New Roman"/>
                <w:bCs/>
                <w:kern w:val="2"/>
                <w:sz w:val="21"/>
                <w:szCs w:val="21"/>
                <w:lang w:val="en-US" w:eastAsia="zh-CN" w:bidi="ar-SA"/>
              </w:rPr>
              <w:t>成品</w:t>
            </w:r>
            <w:r>
              <w:rPr>
                <w:rFonts w:hint="default" w:ascii="Times New Roman" w:hAnsi="Times New Roman" w:eastAsia="宋体" w:cs="Times New Roman"/>
                <w:bCs/>
                <w:kern w:val="2"/>
                <w:sz w:val="21"/>
                <w:szCs w:val="21"/>
                <w:lang w:val="en-US" w:eastAsia="zh-CN" w:bidi="ar-SA"/>
              </w:rPr>
              <w:t>罐区</w:t>
            </w:r>
            <w:r>
              <w:rPr>
                <w:rFonts w:hint="eastAsia" w:cs="Times New Roman"/>
                <w:bCs/>
                <w:kern w:val="2"/>
                <w:sz w:val="21"/>
                <w:szCs w:val="21"/>
                <w:lang w:val="en-US" w:eastAsia="zh-CN" w:bidi="ar-SA"/>
              </w:rPr>
              <w:t>）</w:t>
            </w:r>
          </w:p>
        </w:tc>
        <w:tc>
          <w:tcPr>
            <w:tcW w:w="1576"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糠醛储罐</w:t>
            </w:r>
          </w:p>
        </w:tc>
        <w:tc>
          <w:tcPr>
            <w:tcW w:w="1100"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1</w:t>
            </w:r>
            <w:r>
              <w:rPr>
                <w:rFonts w:hint="eastAsia" w:cs="Times New Roman"/>
                <w:bCs/>
                <w:kern w:val="2"/>
                <w:sz w:val="21"/>
                <w:szCs w:val="21"/>
                <w:lang w:val="en-US" w:eastAsia="zh-CN" w:bidi="ar-SA"/>
              </w:rPr>
              <w:t>0</w:t>
            </w:r>
            <w:r>
              <w:rPr>
                <w:rFonts w:hint="default" w:ascii="Times New Roman" w:hAnsi="Times New Roman" w:eastAsia="宋体" w:cs="Times New Roman"/>
                <w:bCs/>
                <w:kern w:val="2"/>
                <w:sz w:val="21"/>
                <w:szCs w:val="21"/>
                <w:lang w:val="en-US" w:eastAsia="zh-CN" w:bidi="ar-SA"/>
              </w:rPr>
              <w:t>0</w:t>
            </w:r>
          </w:p>
        </w:tc>
        <w:tc>
          <w:tcPr>
            <w:tcW w:w="1634"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常温</w:t>
            </w:r>
            <w:r>
              <w:rPr>
                <w:rFonts w:hint="eastAsia" w:ascii="Times New Roman" w:hAnsi="Times New Roman" w:eastAsia="宋体" w:cs="Times New Roman"/>
                <w:bCs/>
                <w:kern w:val="2"/>
                <w:sz w:val="21"/>
                <w:szCs w:val="21"/>
                <w:lang w:val="en-US" w:eastAsia="zh-CN" w:bidi="ar-SA"/>
              </w:rPr>
              <w:t>，常压</w:t>
            </w:r>
          </w:p>
        </w:tc>
        <w:tc>
          <w:tcPr>
            <w:tcW w:w="111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1</w:t>
            </w:r>
          </w:p>
        </w:tc>
        <w:tc>
          <w:tcPr>
            <w:tcW w:w="1321" w:type="dxa"/>
            <w:vMerge w:val="restart"/>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162.4</w:t>
            </w:r>
          </w:p>
        </w:tc>
        <w:tc>
          <w:tcPr>
            <w:tcW w:w="951" w:type="dxa"/>
            <w:vMerge w:val="restart"/>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37" w:type="dxa"/>
            <w:vMerge w:val="continue"/>
            <w:noWrap w:val="0"/>
            <w:vAlign w:val="center"/>
          </w:tcPr>
          <w:p>
            <w:pPr>
              <w:widowControl w:val="0"/>
              <w:spacing w:line="240" w:lineRule="auto"/>
              <w:jc w:val="center"/>
              <w:rPr>
                <w:rFonts w:hint="eastAsia" w:cs="Times New Roman"/>
                <w:bCs/>
                <w:kern w:val="2"/>
                <w:sz w:val="21"/>
                <w:szCs w:val="21"/>
                <w:lang w:val="en-US" w:eastAsia="zh-CN" w:bidi="ar-SA"/>
              </w:rPr>
            </w:pPr>
          </w:p>
        </w:tc>
        <w:tc>
          <w:tcPr>
            <w:tcW w:w="1576"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糠醛储罐</w:t>
            </w:r>
          </w:p>
        </w:tc>
        <w:tc>
          <w:tcPr>
            <w:tcW w:w="1100"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eastAsia" w:cs="Times New Roman"/>
                <w:bCs/>
                <w:kern w:val="2"/>
                <w:sz w:val="21"/>
                <w:szCs w:val="21"/>
                <w:lang w:val="en-US" w:eastAsia="zh-CN" w:bidi="ar-SA"/>
              </w:rPr>
              <w:t>2</w:t>
            </w:r>
            <w:r>
              <w:rPr>
                <w:rFonts w:hint="default" w:ascii="Times New Roman" w:hAnsi="Times New Roman" w:eastAsia="宋体" w:cs="Times New Roman"/>
                <w:bCs/>
                <w:kern w:val="2"/>
                <w:sz w:val="21"/>
                <w:szCs w:val="21"/>
                <w:lang w:val="en-US" w:eastAsia="zh-CN" w:bidi="ar-SA"/>
              </w:rPr>
              <w:t>0</w:t>
            </w:r>
          </w:p>
        </w:tc>
        <w:tc>
          <w:tcPr>
            <w:tcW w:w="1634"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常温</w:t>
            </w:r>
            <w:r>
              <w:rPr>
                <w:rFonts w:hint="eastAsia" w:ascii="Times New Roman" w:hAnsi="Times New Roman" w:eastAsia="宋体" w:cs="Times New Roman"/>
                <w:bCs/>
                <w:kern w:val="2"/>
                <w:sz w:val="21"/>
                <w:szCs w:val="21"/>
                <w:lang w:val="en-US" w:eastAsia="zh-CN" w:bidi="ar-SA"/>
              </w:rPr>
              <w:t>，常压</w:t>
            </w:r>
          </w:p>
        </w:tc>
        <w:tc>
          <w:tcPr>
            <w:tcW w:w="1111" w:type="dxa"/>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2</w:t>
            </w:r>
          </w:p>
        </w:tc>
        <w:tc>
          <w:tcPr>
            <w:tcW w:w="1321" w:type="dxa"/>
            <w:vMerge w:val="continue"/>
            <w:noWrap w:val="0"/>
            <w:vAlign w:val="center"/>
          </w:tcPr>
          <w:p>
            <w:pPr>
              <w:widowControl w:val="0"/>
              <w:spacing w:line="240" w:lineRule="auto"/>
              <w:jc w:val="center"/>
              <w:rPr>
                <w:rFonts w:hint="default" w:ascii="Times New Roman" w:hAnsi="Times New Roman" w:eastAsia="宋体" w:cs="Times New Roman"/>
                <w:bCs/>
                <w:kern w:val="2"/>
                <w:sz w:val="21"/>
                <w:szCs w:val="21"/>
                <w:lang w:val="en-US" w:eastAsia="zh-CN" w:bidi="ar-SA"/>
              </w:rPr>
            </w:pPr>
          </w:p>
        </w:tc>
        <w:tc>
          <w:tcPr>
            <w:tcW w:w="951" w:type="dxa"/>
            <w:vMerge w:val="continue"/>
            <w:noWrap w:val="0"/>
            <w:vAlign w:val="center"/>
          </w:tcPr>
          <w:p>
            <w:pPr>
              <w:widowControl w:val="0"/>
              <w:spacing w:line="240" w:lineRule="auto"/>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r>
    </w:tbl>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生产单元2重大危险源辨识：</w:t>
      </w:r>
    </w:p>
    <w:p>
      <w:pPr>
        <w:tabs>
          <w:tab w:val="left" w:pos="1276"/>
        </w:tabs>
        <w:spacing w:line="360" w:lineRule="auto"/>
        <w:ind w:firstLine="560" w:firstLineChars="200"/>
        <w:rPr>
          <w:rFonts w:hint="eastAsia"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 xml:space="preserve">S=11.484/5000+4.4/10+3.48/5000+4.64/5000 =0.44392＜1 </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因此，生产单元2未构成危险化学品重大危险源。</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储存单元重大危险源辨识：</w:t>
      </w:r>
    </w:p>
    <w:p>
      <w:pPr>
        <w:tabs>
          <w:tab w:val="left" w:pos="1276"/>
        </w:tabs>
        <w:spacing w:line="360" w:lineRule="auto"/>
        <w:ind w:firstLine="560" w:firstLineChars="200"/>
        <w:rPr>
          <w:rFonts w:hint="eastAsia"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S=</w:t>
      </w:r>
      <w:r>
        <w:rPr>
          <w:rFonts w:hint="eastAsia" w:cs="Times New Roman"/>
          <w:sz w:val="28"/>
          <w:szCs w:val="28"/>
          <w:lang w:val="en-US" w:eastAsia="zh-CN"/>
        </w:rPr>
        <w:t>162.4</w:t>
      </w:r>
      <w:r>
        <w:rPr>
          <w:rFonts w:hint="eastAsia" w:ascii="Times New Roman" w:hAnsi="Times New Roman" w:eastAsia="宋体" w:cs="Times New Roman"/>
          <w:sz w:val="28"/>
          <w:szCs w:val="28"/>
          <w:lang w:val="en-US" w:eastAsia="zh-CN"/>
        </w:rPr>
        <w:t xml:space="preserve">/5000 =0.03248＜1 </w:t>
      </w:r>
    </w:p>
    <w:p>
      <w:pPr>
        <w:spacing w:line="360" w:lineRule="auto"/>
        <w:ind w:firstLine="560" w:firstLineChars="200"/>
        <w:jc w:val="left"/>
        <w:rPr>
          <w:rFonts w:hint="eastAsia"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因此，储存单元未构成危险化学品重大危险源。</w:t>
      </w:r>
    </w:p>
    <w:p>
      <w:pPr>
        <w:ind w:firstLine="560" w:firstLineChars="200"/>
        <w:rPr>
          <w:rFonts w:hint="default" w:ascii="Times New Roman" w:hAnsi="Times New Roman" w:eastAsia="宋体" w:cs="Times New Roman"/>
          <w:color w:val="auto"/>
          <w:kern w:val="0"/>
          <w:sz w:val="28"/>
          <w:szCs w:val="28"/>
          <w:lang w:val="en-US" w:eastAsia="zh-CN" w:bidi="ar-SA"/>
        </w:rPr>
      </w:pPr>
      <w:r>
        <w:rPr>
          <w:rFonts w:hint="eastAsia" w:ascii="Times New Roman" w:hAnsi="Times New Roman" w:eastAsia="宋体" w:cs="Times New Roman"/>
          <w:color w:val="auto"/>
          <w:kern w:val="0"/>
          <w:sz w:val="28"/>
          <w:szCs w:val="28"/>
          <w:lang w:val="en-US" w:eastAsia="zh-CN" w:bidi="ar-SA"/>
        </w:rPr>
        <w:t>综上所述，该企业危险化学品生产单元和储存单元均不构成危险化学品</w:t>
      </w:r>
      <w:r>
        <w:rPr>
          <w:rFonts w:hint="default" w:ascii="Times New Roman" w:hAnsi="Times New Roman" w:eastAsia="宋体" w:cs="Times New Roman"/>
          <w:color w:val="auto"/>
          <w:kern w:val="0"/>
          <w:sz w:val="28"/>
          <w:szCs w:val="28"/>
          <w:lang w:val="en-US" w:eastAsia="zh-CN" w:bidi="ar-SA"/>
        </w:rPr>
        <w:t>重大危险源。</w:t>
      </w:r>
    </w:p>
    <w:p>
      <w:pPr>
        <w:pStyle w:val="21"/>
        <w:rPr>
          <w:rFonts w:hint="eastAsia"/>
          <w:lang w:val="en-US" w:eastAsia="zh-CN"/>
        </w:rPr>
      </w:pPr>
    </w:p>
    <w:p>
      <w:pPr>
        <w:pStyle w:val="21"/>
        <w:rPr>
          <w:rFonts w:hint="eastAsia"/>
          <w:lang w:val="en-US" w:eastAsia="zh-CN"/>
        </w:rPr>
      </w:pPr>
    </w:p>
    <w:bookmarkEnd w:id="341"/>
    <w:bookmarkEnd w:id="342"/>
    <w:p>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szCs w:val="24"/>
        </w:rPr>
        <w:sectPr>
          <w:pgSz w:w="11906" w:h="16838"/>
          <w:pgMar w:top="1418" w:right="1208" w:bottom="1134" w:left="1588" w:header="851" w:footer="737" w:gutter="0"/>
          <w:pgBorders>
            <w:top w:val="none" w:sz="0" w:space="0"/>
            <w:left w:val="none" w:sz="0" w:space="0"/>
            <w:bottom w:val="none" w:sz="0" w:space="0"/>
            <w:right w:val="none" w:sz="0" w:space="0"/>
          </w:pgBorders>
          <w:pgNumType w:fmt="decimal"/>
          <w:cols w:space="720" w:num="1"/>
          <w:docGrid w:type="linesAndChars" w:linePitch="312" w:charSpace="0"/>
        </w:sectPr>
      </w:pPr>
    </w:p>
    <w:bookmarkEnd w:id="191"/>
    <w:bookmarkEnd w:id="192"/>
    <w:bookmarkEnd w:id="193"/>
    <w:p>
      <w:pPr>
        <w:pStyle w:val="4"/>
        <w:keepNext/>
        <w:keepLines/>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360" w:lineRule="auto"/>
        <w:ind w:left="575" w:leftChars="0" w:hanging="575"/>
        <w:jc w:val="center"/>
        <w:textAlignment w:val="auto"/>
        <w:rPr>
          <w:rFonts w:hint="eastAsia" w:ascii="楷体" w:hAnsi="楷体" w:eastAsia="楷体" w:cs="楷体"/>
          <w:b w:val="0"/>
          <w:bCs/>
          <w:kern w:val="2"/>
          <w:sz w:val="32"/>
          <w:szCs w:val="32"/>
          <w:lang w:val="en-US" w:eastAsia="zh-CN"/>
        </w:rPr>
      </w:pPr>
      <w:bookmarkStart w:id="343" w:name="_Toc4016"/>
      <w:r>
        <w:rPr>
          <w:rFonts w:hint="eastAsia" w:ascii="楷体" w:hAnsi="楷体" w:eastAsia="楷体" w:cs="楷体"/>
          <w:b w:val="0"/>
          <w:bCs/>
          <w:kern w:val="2"/>
          <w:sz w:val="32"/>
          <w:szCs w:val="32"/>
          <w:lang w:val="en-US" w:eastAsia="zh-CN"/>
        </w:rPr>
        <w:t>附件3 定性、定量分析过程</w:t>
      </w:r>
      <w:bookmarkEnd w:id="194"/>
      <w:bookmarkEnd w:id="343"/>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344" w:name="_Toc31928_WPSOffice_Level1"/>
      <w:bookmarkStart w:id="345" w:name="_Toc3700_WPSOffice_Level1"/>
      <w:bookmarkStart w:id="346" w:name="_Toc24974_WPSOffice_Level1"/>
      <w:r>
        <w:rPr>
          <w:rFonts w:hint="eastAsia" w:ascii="Times New Roman" w:hAnsi="Times New Roman" w:eastAsia="宋体" w:cs="Times New Roman"/>
          <w:color w:val="000000"/>
          <w:kern w:val="2"/>
          <w:sz w:val="28"/>
          <w:szCs w:val="28"/>
          <w:lang w:val="en-US" w:eastAsia="zh-CN" w:bidi="ar-SA"/>
        </w:rPr>
        <w:t>附件3.1 安全检查表法</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sz w:val="28"/>
          <w:szCs w:val="28"/>
          <w:lang w:val="en-US" w:eastAsia="zh-CN"/>
        </w:rPr>
      </w:pPr>
      <w:r>
        <w:rPr>
          <w:rFonts w:hint="eastAsia"/>
          <w:sz w:val="28"/>
          <w:szCs w:val="28"/>
          <w:lang w:val="en-US" w:eastAsia="zh-CN"/>
        </w:rPr>
        <w:t>（1）周边环境及总平面布置单元安全检查表</w:t>
      </w:r>
      <w:bookmarkEnd w:id="344"/>
      <w:bookmarkEnd w:id="345"/>
      <w:bookmarkEnd w:id="346"/>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bookmarkStart w:id="347" w:name="_Toc21248_WPSOffice_Level2"/>
      <w:bookmarkStart w:id="348" w:name="_Toc8422_WPSOffice_Level1"/>
      <w:bookmarkStart w:id="349" w:name="_Toc13036_WPSOffice_Level1"/>
      <w:r>
        <w:rPr>
          <w:rFonts w:hint="eastAsia" w:ascii="Times New Roman" w:hAnsi="Times New Roman" w:eastAsia="黑体" w:cs="Times New Roman"/>
          <w:b w:val="0"/>
          <w:bCs w:val="0"/>
          <w:color w:val="000000"/>
          <w:kern w:val="28"/>
          <w:sz w:val="21"/>
          <w:szCs w:val="21"/>
          <w:lang w:val="en-US" w:eastAsia="zh-CN" w:bidi="ar-SA"/>
        </w:rPr>
        <w:t>附表3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1 周边环境及总平面布置单元安全检查表</w:t>
      </w:r>
      <w:bookmarkEnd w:id="347"/>
      <w:bookmarkEnd w:id="348"/>
      <w:bookmarkEnd w:id="349"/>
    </w:p>
    <w:tbl>
      <w:tblPr>
        <w:tblStyle w:val="37"/>
        <w:tblW w:w="9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412"/>
        <w:gridCol w:w="2307"/>
        <w:gridCol w:w="2234"/>
        <w:gridCol w:w="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blHeader/>
          <w:jc w:val="center"/>
        </w:trPr>
        <w:tc>
          <w:tcPr>
            <w:tcW w:w="674"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3412"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检查内容</w:t>
            </w:r>
          </w:p>
        </w:tc>
        <w:tc>
          <w:tcPr>
            <w:tcW w:w="2307" w:type="dxa"/>
            <w:noWrap w:val="0"/>
            <w:vAlign w:val="center"/>
          </w:tcPr>
          <w:p>
            <w:pPr>
              <w:spacing w:line="240" w:lineRule="auto"/>
              <w:ind w:left="-44" w:leftChars="-21" w:right="-46" w:rightChars="-22"/>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依据</w:t>
            </w:r>
          </w:p>
        </w:tc>
        <w:tc>
          <w:tcPr>
            <w:tcW w:w="2234" w:type="dxa"/>
            <w:noWrap w:val="0"/>
            <w:vAlign w:val="center"/>
          </w:tcPr>
          <w:p>
            <w:pPr>
              <w:spacing w:line="240" w:lineRule="auto"/>
              <w:ind w:left="-46" w:leftChars="-22"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实际情况</w:t>
            </w:r>
          </w:p>
        </w:tc>
        <w:tc>
          <w:tcPr>
            <w:tcW w:w="689" w:type="dxa"/>
            <w:noWrap w:val="0"/>
            <w:vAlign w:val="center"/>
          </w:tcPr>
          <w:p>
            <w:pPr>
              <w:spacing w:line="240" w:lineRule="auto"/>
              <w:ind w:left="-46" w:leftChars="-22" w:right="-63" w:rightChars="-30"/>
              <w:jc w:val="center"/>
              <w:rPr>
                <w:rFonts w:hint="default"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厂区的通道宽度应符合下列规定：</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1.应符合通道两侧建筑物、构筑物及露天设施对防火、安全与卫生间距的要求。</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2.应符合铁路、道路与带式输送机通廊等工业运输线路的布置要求。</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3.应符合各种工程管线的布置要求。</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4.应符合绿化布置的要求。</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5.应符合施工、安装与检修的要求。</w:t>
            </w:r>
          </w:p>
          <w:p>
            <w:pPr>
              <w:keepNext w:val="0"/>
              <w:keepLines w:val="0"/>
              <w:suppressLineNumbers w:val="0"/>
              <w:spacing w:before="0" w:beforeAutospacing="0" w:after="0" w:afterAutospacing="0"/>
              <w:ind w:left="0" w:right="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6.应符合竖向设计的要求。</w:t>
            </w:r>
          </w:p>
          <w:p>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7.应符合预留发展用地的要求。</w:t>
            </w:r>
          </w:p>
        </w:tc>
        <w:tc>
          <w:tcPr>
            <w:tcW w:w="2307"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《工业企业总平面设计规范》GB50187-</w:t>
            </w:r>
          </w:p>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2012</w:t>
            </w:r>
            <w:r>
              <w:rPr>
                <w:rFonts w:hint="default" w:ascii="Times New Roman" w:hAnsi="Times New Roman" w:eastAsia="宋体" w:cs="Times New Roman"/>
                <w:sz w:val="21"/>
                <w:szCs w:val="21"/>
                <w:lang w:bidi="ar"/>
              </w:rPr>
              <w:t>第5.1.4条</w:t>
            </w:r>
          </w:p>
        </w:tc>
        <w:tc>
          <w:tcPr>
            <w:tcW w:w="2234" w:type="dxa"/>
            <w:noWrap w:val="0"/>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道路按规划设计。道路的宽度满足车辆运输及消防道路宽度的要求。</w:t>
            </w:r>
          </w:p>
        </w:tc>
        <w:tc>
          <w:tcPr>
            <w:tcW w:w="689"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kern w:val="2"/>
                <w:sz w:val="21"/>
                <w:szCs w:val="21"/>
              </w:rPr>
              <w:t>总平面布置应结合当地气象条件，使建筑物具有良好的朝向、采光和自然通风条件。高温、热加工、有特殊要求和人员较多的建筑物，应避免西晒。</w:t>
            </w:r>
          </w:p>
        </w:tc>
        <w:tc>
          <w:tcPr>
            <w:tcW w:w="2307" w:type="dxa"/>
            <w:noWrap w:val="0"/>
            <w:vAlign w:val="center"/>
          </w:tcPr>
          <w:p>
            <w:pPr>
              <w:snapToGrid/>
              <w:spacing w:line="240" w:lineRule="auto"/>
              <w:ind w:left="0" w:leftChars="0" w:firstLine="0" w:firstLineChars="0"/>
              <w:jc w:val="center"/>
              <w:rPr>
                <w:rFonts w:hint="default" w:ascii="Times New Roman" w:hAnsi="Times New Roman" w:eastAsia="宋体" w:cs="Times New Roman"/>
                <w:spacing w:val="0"/>
                <w:kern w:val="2"/>
                <w:sz w:val="21"/>
                <w:szCs w:val="21"/>
              </w:rPr>
            </w:pPr>
            <w:r>
              <w:rPr>
                <w:rFonts w:hint="default" w:ascii="Times New Roman" w:hAnsi="Times New Roman" w:eastAsia="宋体" w:cs="Times New Roman"/>
                <w:spacing w:val="0"/>
                <w:kern w:val="2"/>
                <w:sz w:val="21"/>
                <w:szCs w:val="21"/>
              </w:rPr>
              <w:t>《工业企业总平面设计规范》GB 50187-</w:t>
            </w:r>
          </w:p>
          <w:p>
            <w:pPr>
              <w:snapToGrid/>
              <w:spacing w:line="240" w:lineRule="auto"/>
              <w:ind w:left="0" w:leftChars="0" w:firstLine="0" w:firstLineChars="0"/>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kern w:val="2"/>
                <w:sz w:val="21"/>
                <w:szCs w:val="21"/>
              </w:rPr>
              <w:t>2012第</w:t>
            </w:r>
            <w:r>
              <w:rPr>
                <w:rFonts w:hint="default" w:ascii="Times New Roman" w:hAnsi="Times New Roman" w:eastAsia="宋体" w:cs="Times New Roman"/>
                <w:spacing w:val="0"/>
                <w:kern w:val="2"/>
                <w:sz w:val="21"/>
                <w:szCs w:val="21"/>
                <w:lang w:val="en-US" w:eastAsia="zh-CN"/>
              </w:rPr>
              <w:t>5.1.6</w:t>
            </w:r>
            <w:r>
              <w:rPr>
                <w:rFonts w:hint="default" w:ascii="Times New Roman" w:hAnsi="Times New Roman" w:eastAsia="宋体" w:cs="Times New Roman"/>
                <w:spacing w:val="0"/>
                <w:kern w:val="2"/>
                <w:sz w:val="21"/>
                <w:szCs w:val="21"/>
              </w:rPr>
              <w:t>条</w:t>
            </w:r>
          </w:p>
        </w:tc>
        <w:tc>
          <w:tcPr>
            <w:tcW w:w="2234" w:type="dxa"/>
            <w:noWrap w:val="0"/>
            <w:vAlign w:val="center"/>
          </w:tcPr>
          <w:p>
            <w:pPr>
              <w:pStyle w:val="17"/>
              <w:spacing w:after="0" w:line="240" w:lineRule="auto"/>
              <w:ind w:left="0" w:leftChars="0" w:right="-61" w:rightChars="-29" w:firstLine="0" w:firstLineChars="0"/>
              <w:jc w:val="both"/>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kern w:val="2"/>
                <w:sz w:val="21"/>
                <w:szCs w:val="21"/>
                <w:lang w:val="en-US" w:eastAsia="zh-CN" w:bidi="ar-SA"/>
              </w:rPr>
              <w:t>生产</w:t>
            </w:r>
            <w:r>
              <w:rPr>
                <w:rFonts w:hint="eastAsia" w:ascii="Times New Roman" w:hAnsi="Times New Roman" w:eastAsia="宋体" w:cs="Times New Roman"/>
                <w:spacing w:val="0"/>
                <w:kern w:val="2"/>
                <w:sz w:val="21"/>
                <w:szCs w:val="21"/>
                <w:lang w:val="en-US" w:eastAsia="zh-CN" w:bidi="ar-SA"/>
              </w:rPr>
              <w:t>车间</w:t>
            </w:r>
            <w:r>
              <w:rPr>
                <w:rFonts w:hint="default" w:ascii="Times New Roman" w:hAnsi="Times New Roman" w:eastAsia="宋体" w:cs="Times New Roman"/>
                <w:spacing w:val="0"/>
                <w:kern w:val="2"/>
                <w:sz w:val="21"/>
                <w:szCs w:val="21"/>
                <w:lang w:val="en-US" w:eastAsia="zh-CN" w:bidi="ar-SA"/>
              </w:rPr>
              <w:t>、</w:t>
            </w:r>
            <w:r>
              <w:rPr>
                <w:rFonts w:hint="eastAsia" w:ascii="Times New Roman" w:hAnsi="Times New Roman" w:eastAsia="宋体" w:cs="Times New Roman"/>
                <w:spacing w:val="0"/>
                <w:kern w:val="2"/>
                <w:sz w:val="21"/>
                <w:szCs w:val="21"/>
                <w:lang w:val="en-US" w:eastAsia="zh-CN" w:bidi="ar-SA"/>
              </w:rPr>
              <w:t>办公楼</w:t>
            </w:r>
            <w:r>
              <w:rPr>
                <w:rFonts w:hint="default" w:ascii="Times New Roman" w:hAnsi="Times New Roman" w:eastAsia="宋体" w:cs="Times New Roman"/>
                <w:spacing w:val="0"/>
                <w:kern w:val="2"/>
                <w:sz w:val="21"/>
                <w:szCs w:val="21"/>
                <w:lang w:val="en-US" w:eastAsia="zh-CN" w:bidi="ar-SA"/>
              </w:rPr>
              <w:t>等主要建筑具有良好的朝向、采光和自然通风条件。</w:t>
            </w:r>
          </w:p>
        </w:tc>
        <w:tc>
          <w:tcPr>
            <w:tcW w:w="689" w:type="dxa"/>
            <w:noWrap w:val="0"/>
            <w:vAlign w:val="center"/>
          </w:tcPr>
          <w:p>
            <w:pPr>
              <w:snapToGrid/>
              <w:spacing w:line="240" w:lineRule="auto"/>
              <w:ind w:left="0" w:leftChars="0" w:firstLine="0" w:firstLineChars="0"/>
              <w:jc w:val="center"/>
              <w:rPr>
                <w:rFonts w:hint="default" w:ascii="Times New Roman" w:hAnsi="Times New Roman" w:eastAsia="宋体" w:cs="Times New Roman"/>
                <w:spacing w:val="0"/>
                <w:kern w:val="2"/>
                <w:sz w:val="21"/>
                <w:szCs w:val="21"/>
                <w:lang w:val="en-US" w:eastAsia="zh-CN" w:bidi="ar-SA"/>
              </w:rPr>
            </w:pPr>
            <w:r>
              <w:rPr>
                <w:rFonts w:hint="default" w:ascii="Times New Roman" w:hAnsi="Times New Roman" w:eastAsia="宋体" w:cs="Times New Roman"/>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spacing w:val="0"/>
                <w:kern w:val="2"/>
                <w:sz w:val="21"/>
                <w:szCs w:val="21"/>
              </w:rPr>
            </w:pPr>
            <w:r>
              <w:rPr>
                <w:rFonts w:hint="default" w:ascii="Times New Roman" w:hAnsi="Times New Roman" w:eastAsia="宋体" w:cs="Times New Roman"/>
                <w:spacing w:val="0"/>
                <w:kern w:val="2"/>
                <w:sz w:val="21"/>
                <w:szCs w:val="21"/>
              </w:rPr>
              <w:t>厂区道路根据交通、消防和分区的要求合理布置，力求顺通，危险场所应为环形，路面宽度按交通密度及安全因素确定，保证消防、急救车辆畅行无阻。</w:t>
            </w:r>
          </w:p>
        </w:tc>
        <w:tc>
          <w:tcPr>
            <w:tcW w:w="2307"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《化工企业安全卫生设计规范》HG20571-</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2014</w:t>
            </w:r>
            <w:r>
              <w:rPr>
                <w:rFonts w:hint="default" w:ascii="Times New Roman" w:hAnsi="Times New Roman" w:eastAsia="宋体" w:cs="Times New Roman"/>
                <w:sz w:val="21"/>
                <w:szCs w:val="21"/>
              </w:rPr>
              <w:t>第</w:t>
            </w: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.2.6条</w:t>
            </w:r>
          </w:p>
        </w:tc>
        <w:tc>
          <w:tcPr>
            <w:tcW w:w="2234"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厂区道路布置合理。</w:t>
            </w:r>
          </w:p>
        </w:tc>
        <w:tc>
          <w:tcPr>
            <w:tcW w:w="689" w:type="dxa"/>
            <w:noWrap w:val="0"/>
            <w:vAlign w:val="center"/>
          </w:tcPr>
          <w:p>
            <w:pPr>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eastAsia" w:ascii="Times New Roman" w:hAnsi="Times New Roman" w:eastAsia="宋体" w:cs="Times New Roman"/>
                <w:spacing w:val="0"/>
                <w:kern w:val="2"/>
                <w:sz w:val="21"/>
                <w:szCs w:val="21"/>
                <w:lang w:val="en-US" w:eastAsia="zh-CN"/>
              </w:rPr>
            </w:pPr>
            <w:r>
              <w:rPr>
                <w:rFonts w:hint="eastAsia" w:ascii="Times New Roman" w:hAnsi="Times New Roman" w:eastAsia="宋体" w:cs="Times New Roman"/>
                <w:spacing w:val="0"/>
                <w:kern w:val="2"/>
                <w:sz w:val="21"/>
                <w:szCs w:val="21"/>
                <w:lang w:val="en-US" w:eastAsia="zh-CN"/>
              </w:rPr>
              <w:t>厂内建构筑物与厂外建构筑物的防火间距应符合</w:t>
            </w:r>
            <w:r>
              <w:rPr>
                <w:rFonts w:hint="default" w:ascii="Times New Roman" w:hAnsi="Times New Roman" w:eastAsia="宋体" w:cs="Times New Roman"/>
                <w:spacing w:val="0"/>
                <w:kern w:val="2"/>
                <w:sz w:val="21"/>
                <w:szCs w:val="21"/>
                <w:lang w:val="en-US" w:eastAsia="zh-CN"/>
              </w:rPr>
              <w:t>《建筑设计防火规范》GB50016-2014</w:t>
            </w:r>
            <w:r>
              <w:rPr>
                <w:rFonts w:hint="eastAsia" w:ascii="Times New Roman" w:hAnsi="Times New Roman" w:eastAsia="宋体" w:cs="Times New Roman"/>
                <w:spacing w:val="0"/>
                <w:kern w:val="2"/>
                <w:sz w:val="21"/>
                <w:szCs w:val="21"/>
                <w:lang w:val="en-US" w:eastAsia="zh-CN"/>
              </w:rPr>
              <w:t>要求</w:t>
            </w:r>
            <w:r>
              <w:rPr>
                <w:rFonts w:hint="default" w:ascii="Times New Roman" w:hAnsi="Times New Roman" w:eastAsia="宋体" w:cs="Times New Roman"/>
                <w:spacing w:val="0"/>
                <w:kern w:val="2"/>
                <w:sz w:val="21"/>
                <w:szCs w:val="21"/>
                <w:lang w:val="en-US" w:eastAsia="zh-CN"/>
              </w:rPr>
              <w:t>。</w:t>
            </w:r>
          </w:p>
        </w:tc>
        <w:tc>
          <w:tcPr>
            <w:tcW w:w="2307" w:type="dxa"/>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w:t>
            </w:r>
            <w:r>
              <w:rPr>
                <w:rFonts w:hint="eastAsia" w:cs="Times New Roman"/>
                <w:color w:val="auto"/>
                <w:kern w:val="0"/>
                <w:sz w:val="21"/>
                <w:szCs w:val="21"/>
                <w:lang w:val="en-US" w:eastAsia="zh-CN"/>
              </w:rPr>
              <w:t>4.2.9</w:t>
            </w:r>
            <w:r>
              <w:rPr>
                <w:rFonts w:hint="default" w:ascii="Times New Roman" w:hAnsi="Times New Roman" w:eastAsia="宋体" w:cs="Times New Roman"/>
                <w:color w:val="auto"/>
                <w:kern w:val="0"/>
                <w:sz w:val="21"/>
                <w:szCs w:val="21"/>
              </w:rPr>
              <w:t>条</w:t>
            </w:r>
          </w:p>
        </w:tc>
        <w:tc>
          <w:tcPr>
            <w:tcW w:w="2234" w:type="dxa"/>
            <w:noWrap w:val="0"/>
            <w:vAlign w:val="center"/>
          </w:tcPr>
          <w:p>
            <w:pPr>
              <w:spacing w:line="240" w:lineRule="auto"/>
              <w:jc w:val="both"/>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详</w:t>
            </w:r>
            <w:r>
              <w:rPr>
                <w:rFonts w:hint="default" w:ascii="Times New Roman" w:hAnsi="Times New Roman" w:eastAsia="宋体" w:cs="Times New Roman"/>
                <w:color w:val="auto"/>
                <w:sz w:val="21"/>
                <w:szCs w:val="21"/>
              </w:rPr>
              <w:t>见表1</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w:t>
            </w:r>
          </w:p>
        </w:tc>
        <w:tc>
          <w:tcPr>
            <w:tcW w:w="689" w:type="dxa"/>
            <w:noWrap w:val="0"/>
            <w:vAlign w:val="center"/>
          </w:tcPr>
          <w:p>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spacing w:val="0"/>
                <w:kern w:val="2"/>
                <w:sz w:val="21"/>
                <w:szCs w:val="21"/>
              </w:rPr>
            </w:pPr>
            <w:r>
              <w:rPr>
                <w:rFonts w:hint="eastAsia" w:ascii="Times New Roman" w:hAnsi="Times New Roman" w:eastAsia="宋体" w:cs="Times New Roman"/>
                <w:spacing w:val="0"/>
                <w:kern w:val="2"/>
                <w:sz w:val="21"/>
                <w:szCs w:val="21"/>
                <w:lang w:val="en-US" w:eastAsia="zh-CN"/>
              </w:rPr>
              <w:t>厂内建构筑物之间的防火间距应符合</w:t>
            </w:r>
            <w:r>
              <w:rPr>
                <w:rFonts w:hint="default" w:ascii="Times New Roman" w:hAnsi="Times New Roman" w:eastAsia="宋体" w:cs="Times New Roman"/>
                <w:spacing w:val="0"/>
                <w:kern w:val="2"/>
                <w:sz w:val="21"/>
                <w:szCs w:val="21"/>
                <w:lang w:val="en-US" w:eastAsia="zh-CN"/>
              </w:rPr>
              <w:t>《建筑设计防火规范》GB50016-2014</w:t>
            </w:r>
            <w:r>
              <w:rPr>
                <w:rFonts w:hint="eastAsia" w:ascii="Times New Roman" w:hAnsi="Times New Roman" w:eastAsia="宋体" w:cs="Times New Roman"/>
                <w:spacing w:val="0"/>
                <w:kern w:val="2"/>
                <w:sz w:val="21"/>
                <w:szCs w:val="21"/>
                <w:lang w:val="en-US" w:eastAsia="zh-CN"/>
              </w:rPr>
              <w:t>要求</w:t>
            </w:r>
            <w:r>
              <w:rPr>
                <w:rFonts w:hint="default" w:ascii="Times New Roman" w:hAnsi="Times New Roman" w:eastAsia="宋体" w:cs="Times New Roman"/>
                <w:spacing w:val="0"/>
                <w:kern w:val="2"/>
                <w:sz w:val="21"/>
                <w:szCs w:val="21"/>
                <w:lang w:val="en-US" w:eastAsia="zh-CN"/>
              </w:rPr>
              <w:t>。</w:t>
            </w:r>
          </w:p>
        </w:tc>
        <w:tc>
          <w:tcPr>
            <w:tcW w:w="2307" w:type="dxa"/>
            <w:noWrap w:val="0"/>
            <w:vAlign w:val="center"/>
          </w:tcPr>
          <w:p>
            <w:pPr>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第3.4.1</w:t>
            </w:r>
            <w:r>
              <w:rPr>
                <w:rFonts w:hint="default" w:ascii="Times New Roman" w:hAnsi="Times New Roman" w:eastAsia="宋体" w:cs="Times New Roman"/>
                <w:color w:val="auto"/>
                <w:kern w:val="0"/>
                <w:sz w:val="21"/>
                <w:szCs w:val="21"/>
                <w:lang w:eastAsia="zh-CN"/>
              </w:rPr>
              <w:t>、</w:t>
            </w:r>
            <w:r>
              <w:rPr>
                <w:rFonts w:hint="eastAsia" w:cs="Times New Roman"/>
                <w:color w:val="auto"/>
                <w:kern w:val="0"/>
                <w:sz w:val="21"/>
                <w:szCs w:val="21"/>
                <w:lang w:val="en-US" w:eastAsia="zh-CN"/>
              </w:rPr>
              <w:t>4.2.1</w:t>
            </w:r>
            <w:r>
              <w:rPr>
                <w:rFonts w:hint="default" w:ascii="Times New Roman" w:hAnsi="Times New Roman" w:eastAsia="宋体" w:cs="Times New Roman"/>
                <w:color w:val="auto"/>
                <w:kern w:val="0"/>
                <w:sz w:val="21"/>
                <w:szCs w:val="21"/>
                <w:lang w:val="en-US" w:eastAsia="zh-CN"/>
              </w:rPr>
              <w:t>、</w:t>
            </w:r>
            <w:r>
              <w:rPr>
                <w:rFonts w:hint="eastAsia" w:cs="Times New Roman"/>
                <w:color w:val="auto"/>
                <w:kern w:val="0"/>
                <w:sz w:val="21"/>
                <w:szCs w:val="21"/>
                <w:lang w:val="en-US" w:eastAsia="zh-CN"/>
              </w:rPr>
              <w:t>4.2.7</w:t>
            </w:r>
            <w:r>
              <w:rPr>
                <w:rFonts w:hint="eastAsia" w:ascii="Times New Roman" w:hAnsi="Times New Roman" w:eastAsia="宋体" w:cs="Times New Roman"/>
                <w:color w:val="auto"/>
                <w:kern w:val="0"/>
                <w:sz w:val="21"/>
                <w:szCs w:val="21"/>
                <w:lang w:val="en-US" w:eastAsia="zh-CN"/>
              </w:rPr>
              <w:t>、</w:t>
            </w:r>
            <w:r>
              <w:rPr>
                <w:rFonts w:hint="eastAsia" w:cs="Times New Roman"/>
                <w:color w:val="auto"/>
                <w:kern w:val="0"/>
                <w:sz w:val="21"/>
                <w:szCs w:val="21"/>
                <w:lang w:val="en-US" w:eastAsia="zh-CN"/>
              </w:rPr>
              <w:t>4.5.1</w:t>
            </w:r>
            <w:r>
              <w:rPr>
                <w:rFonts w:hint="default" w:ascii="Times New Roman" w:hAnsi="Times New Roman" w:eastAsia="宋体" w:cs="Times New Roman"/>
                <w:color w:val="auto"/>
                <w:kern w:val="0"/>
                <w:sz w:val="21"/>
                <w:szCs w:val="21"/>
              </w:rPr>
              <w:t>条</w:t>
            </w:r>
          </w:p>
        </w:tc>
        <w:tc>
          <w:tcPr>
            <w:tcW w:w="2234"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详</w:t>
            </w:r>
            <w:r>
              <w:rPr>
                <w:rFonts w:hint="default" w:ascii="Times New Roman" w:hAnsi="Times New Roman" w:eastAsia="宋体" w:cs="Times New Roman"/>
                <w:color w:val="auto"/>
                <w:sz w:val="21"/>
                <w:szCs w:val="21"/>
              </w:rPr>
              <w:t>见表1</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w:t>
            </w:r>
          </w:p>
        </w:tc>
        <w:tc>
          <w:tcPr>
            <w:tcW w:w="689" w:type="dxa"/>
            <w:noWrap w:val="0"/>
            <w:vAlign w:val="center"/>
          </w:tcPr>
          <w:p>
            <w:pPr>
              <w:widowControl/>
              <w:spacing w:line="240" w:lineRule="auto"/>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widowControl/>
              <w:spacing w:line="240" w:lineRule="auto"/>
              <w:jc w:val="both"/>
              <w:rPr>
                <w:rFonts w:hint="eastAsia" w:ascii="Times New Roman" w:hAnsi="Times New Roman" w:eastAsia="宋体" w:cs="Times New Roman"/>
                <w:color w:val="000000"/>
                <w:spacing w:val="0"/>
                <w:kern w:val="2"/>
                <w:sz w:val="21"/>
                <w:szCs w:val="21"/>
                <w:lang w:val="en-US" w:eastAsia="zh-CN"/>
              </w:rPr>
            </w:pPr>
            <w:r>
              <w:rPr>
                <w:rFonts w:hint="eastAsia" w:cs="Times New Roman"/>
                <w:color w:val="000000"/>
                <w:spacing w:val="0"/>
                <w:kern w:val="2"/>
                <w:sz w:val="21"/>
                <w:szCs w:val="21"/>
                <w:lang w:val="en-US" w:eastAsia="zh-CN"/>
              </w:rPr>
              <w:t>成品储罐的防火间距</w:t>
            </w:r>
            <w:r>
              <w:rPr>
                <w:rFonts w:hint="eastAsia" w:ascii="Times New Roman" w:hAnsi="Times New Roman" w:eastAsia="宋体" w:cs="Times New Roman"/>
                <w:color w:val="000000"/>
                <w:spacing w:val="0"/>
                <w:kern w:val="2"/>
                <w:sz w:val="21"/>
                <w:szCs w:val="21"/>
                <w:lang w:val="en-US" w:eastAsia="zh-CN"/>
              </w:rPr>
              <w:t>应符合</w:t>
            </w:r>
            <w:r>
              <w:rPr>
                <w:rFonts w:hint="default" w:ascii="Times New Roman" w:hAnsi="Times New Roman" w:eastAsia="宋体" w:cs="Times New Roman"/>
                <w:color w:val="000000"/>
                <w:spacing w:val="0"/>
                <w:kern w:val="2"/>
                <w:sz w:val="21"/>
                <w:szCs w:val="21"/>
                <w:lang w:val="en-US" w:eastAsia="zh-CN"/>
              </w:rPr>
              <w:t>《建筑设计防火规范》GB50016-2014</w:t>
            </w:r>
            <w:r>
              <w:rPr>
                <w:rFonts w:hint="eastAsia" w:ascii="Times New Roman" w:hAnsi="Times New Roman" w:eastAsia="宋体" w:cs="Times New Roman"/>
                <w:color w:val="000000"/>
                <w:spacing w:val="0"/>
                <w:kern w:val="2"/>
                <w:sz w:val="21"/>
                <w:szCs w:val="21"/>
                <w:lang w:val="en-US" w:eastAsia="zh-CN"/>
              </w:rPr>
              <w:t>要求</w:t>
            </w:r>
            <w:r>
              <w:rPr>
                <w:rFonts w:hint="default" w:ascii="Times New Roman" w:hAnsi="Times New Roman" w:eastAsia="宋体" w:cs="Times New Roman"/>
                <w:color w:val="000000"/>
                <w:spacing w:val="0"/>
                <w:kern w:val="2"/>
                <w:sz w:val="21"/>
                <w:szCs w:val="21"/>
                <w:lang w:val="en-US" w:eastAsia="zh-CN"/>
              </w:rPr>
              <w:t>。</w:t>
            </w:r>
          </w:p>
        </w:tc>
        <w:tc>
          <w:tcPr>
            <w:tcW w:w="2307" w:type="dxa"/>
            <w:noWrap w:val="0"/>
            <w:vAlign w:val="center"/>
          </w:tcPr>
          <w:p>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w:t>
            </w:r>
            <w:r>
              <w:rPr>
                <w:rFonts w:hint="eastAsia" w:cs="Times New Roman"/>
                <w:color w:val="auto"/>
                <w:kern w:val="0"/>
                <w:sz w:val="21"/>
                <w:szCs w:val="21"/>
                <w:lang w:val="en-US" w:eastAsia="zh-CN"/>
              </w:rPr>
              <w:t>4.2.2条</w:t>
            </w:r>
            <w:r>
              <w:rPr>
                <w:rFonts w:hint="default" w:ascii="Times New Roman" w:hAnsi="Times New Roman" w:eastAsia="宋体" w:cs="Times New Roman"/>
                <w:color w:val="auto"/>
                <w:kern w:val="0"/>
                <w:sz w:val="21"/>
                <w:szCs w:val="21"/>
                <w:lang w:eastAsia="zh-CN"/>
              </w:rPr>
              <w:t>、</w:t>
            </w:r>
            <w:r>
              <w:rPr>
                <w:rFonts w:hint="eastAsia" w:cs="Times New Roman"/>
                <w:color w:val="auto"/>
                <w:kern w:val="0"/>
                <w:sz w:val="21"/>
                <w:szCs w:val="21"/>
                <w:lang w:eastAsia="zh-CN"/>
              </w:rPr>
              <w:t>第</w:t>
            </w:r>
            <w:r>
              <w:rPr>
                <w:rFonts w:hint="eastAsia" w:cs="Times New Roman"/>
                <w:color w:val="auto"/>
                <w:kern w:val="0"/>
                <w:sz w:val="21"/>
                <w:szCs w:val="21"/>
                <w:lang w:val="en-US" w:eastAsia="zh-CN"/>
              </w:rPr>
              <w:t>4.2.5</w:t>
            </w:r>
            <w:r>
              <w:rPr>
                <w:rFonts w:hint="default" w:ascii="Times New Roman" w:hAnsi="Times New Roman" w:eastAsia="宋体" w:cs="Times New Roman"/>
                <w:color w:val="auto"/>
                <w:kern w:val="0"/>
                <w:sz w:val="21"/>
                <w:szCs w:val="21"/>
              </w:rPr>
              <w:t>条</w:t>
            </w:r>
          </w:p>
        </w:tc>
        <w:tc>
          <w:tcPr>
            <w:tcW w:w="2234" w:type="dxa"/>
            <w:noWrap w:val="0"/>
            <w:vAlign w:val="center"/>
          </w:tcPr>
          <w:p>
            <w:pPr>
              <w:spacing w:line="240" w:lineRule="auto"/>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详</w:t>
            </w:r>
            <w:r>
              <w:rPr>
                <w:rFonts w:hint="default" w:ascii="Times New Roman" w:hAnsi="Times New Roman" w:eastAsia="宋体" w:cs="Times New Roman"/>
                <w:color w:val="auto"/>
                <w:sz w:val="21"/>
                <w:szCs w:val="21"/>
              </w:rPr>
              <w:t>见</w:t>
            </w:r>
            <w:r>
              <w:rPr>
                <w:rFonts w:hint="eastAsia" w:cs="Times New Roman"/>
                <w:color w:val="auto"/>
                <w:sz w:val="21"/>
                <w:szCs w:val="21"/>
                <w:lang w:val="en-US" w:eastAsia="zh-CN"/>
              </w:rPr>
              <w:t>表1-5</w:t>
            </w:r>
            <w:r>
              <w:rPr>
                <w:rFonts w:hint="default" w:ascii="Times New Roman" w:hAnsi="Times New Roman" w:eastAsia="宋体" w:cs="Times New Roman"/>
                <w:color w:val="auto"/>
                <w:sz w:val="21"/>
                <w:szCs w:val="21"/>
              </w:rPr>
              <w:t>。</w:t>
            </w:r>
          </w:p>
        </w:tc>
        <w:tc>
          <w:tcPr>
            <w:tcW w:w="689" w:type="dxa"/>
            <w:noWrap w:val="0"/>
            <w:vAlign w:val="center"/>
          </w:tcPr>
          <w:p>
            <w:pPr>
              <w:widowControl/>
              <w:spacing w:line="240" w:lineRule="auto"/>
              <w:jc w:val="center"/>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eastAsia"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员工宿舍严禁设置在厂房内。</w:t>
            </w:r>
          </w:p>
        </w:tc>
        <w:tc>
          <w:tcPr>
            <w:tcW w:w="2307" w:type="dxa"/>
            <w:noWrap w:val="0"/>
            <w:vAlign w:val="center"/>
          </w:tcPr>
          <w:p>
            <w:pPr>
              <w:spacing w:line="240" w:lineRule="auto"/>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000000"/>
                <w:spacing w:val="0"/>
                <w:kern w:val="2"/>
                <w:sz w:val="21"/>
                <w:szCs w:val="21"/>
                <w:lang w:val="en-US" w:eastAsia="zh-CN"/>
              </w:rPr>
              <w:t>第3.3.5条</w:t>
            </w:r>
          </w:p>
        </w:tc>
        <w:tc>
          <w:tcPr>
            <w:tcW w:w="2234" w:type="dxa"/>
            <w:noWrap w:val="0"/>
            <w:vAlign w:val="center"/>
          </w:tcPr>
          <w:p>
            <w:pPr>
              <w:snapToGrid/>
              <w:spacing w:line="240" w:lineRule="auto"/>
              <w:ind w:left="0" w:leftChars="0" w:firstLine="0" w:firstLineChars="0"/>
              <w:jc w:val="both"/>
              <w:rPr>
                <w:rFonts w:hint="eastAsia"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生产车间内无员工宿舍。</w:t>
            </w:r>
          </w:p>
        </w:tc>
        <w:tc>
          <w:tcPr>
            <w:tcW w:w="689"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厂房和</w:t>
            </w:r>
            <w:r>
              <w:rPr>
                <w:rFonts w:hint="eastAsia" w:cs="Times New Roman"/>
                <w:color w:val="000000"/>
                <w:sz w:val="21"/>
                <w:szCs w:val="21"/>
                <w:lang w:val="en-US" w:eastAsia="zh-CN"/>
              </w:rPr>
              <w:t>罐区</w:t>
            </w:r>
            <w:r>
              <w:rPr>
                <w:rFonts w:hint="default" w:ascii="Times New Roman" w:hAnsi="Times New Roman" w:eastAsia="宋体" w:cs="Times New Roman"/>
                <w:color w:val="000000"/>
                <w:sz w:val="21"/>
                <w:szCs w:val="21"/>
                <w:lang w:val="en-US" w:eastAsia="zh-CN"/>
              </w:rPr>
              <w:t>的火灾危险性类别应符合</w:t>
            </w:r>
            <w:r>
              <w:rPr>
                <w:rFonts w:hint="default" w:ascii="Times New Roman" w:hAnsi="Times New Roman" w:eastAsia="宋体" w:cs="Times New Roman"/>
                <w:color w:val="000000"/>
                <w:spacing w:val="0"/>
                <w:kern w:val="2"/>
                <w:sz w:val="21"/>
                <w:szCs w:val="21"/>
                <w:lang w:val="en-US" w:eastAsia="zh-CN"/>
              </w:rPr>
              <w:t>《建筑设计防火规范》GB50016-2014要求。</w:t>
            </w:r>
          </w:p>
        </w:tc>
        <w:tc>
          <w:tcPr>
            <w:tcW w:w="2307" w:type="dxa"/>
            <w:noWrap w:val="0"/>
            <w:vAlign w:val="center"/>
          </w:tcPr>
          <w:p>
            <w:pPr>
              <w:spacing w:line="240" w:lineRule="auto"/>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000000"/>
                <w:spacing w:val="0"/>
                <w:kern w:val="2"/>
                <w:sz w:val="21"/>
                <w:szCs w:val="21"/>
                <w:lang w:val="en-US" w:eastAsia="zh-CN"/>
              </w:rPr>
              <w:t>第3.1.1条、第3.1.3条</w:t>
            </w:r>
          </w:p>
        </w:tc>
        <w:tc>
          <w:tcPr>
            <w:tcW w:w="2234"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生产车间和</w:t>
            </w:r>
            <w:r>
              <w:rPr>
                <w:rFonts w:hint="eastAsia" w:cs="Times New Roman"/>
                <w:color w:val="000000"/>
                <w:spacing w:val="0"/>
                <w:kern w:val="2"/>
                <w:sz w:val="21"/>
                <w:szCs w:val="21"/>
                <w:lang w:val="en-US" w:eastAsia="zh-CN"/>
              </w:rPr>
              <w:t>罐区</w:t>
            </w:r>
            <w:r>
              <w:rPr>
                <w:rFonts w:hint="default" w:ascii="Times New Roman" w:hAnsi="Times New Roman" w:eastAsia="宋体" w:cs="Times New Roman"/>
                <w:color w:val="000000"/>
                <w:spacing w:val="0"/>
                <w:kern w:val="2"/>
                <w:sz w:val="21"/>
                <w:szCs w:val="21"/>
                <w:lang w:val="en-US" w:eastAsia="zh-CN"/>
              </w:rPr>
              <w:t>火灾危险性符合规范要求。</w:t>
            </w:r>
          </w:p>
        </w:tc>
        <w:tc>
          <w:tcPr>
            <w:tcW w:w="689" w:type="dxa"/>
            <w:noWrap w:val="0"/>
            <w:vAlign w:val="center"/>
          </w:tcPr>
          <w:p>
            <w:pPr>
              <w:spacing w:line="24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bidi="ar-SA"/>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厂房的耐火等级可分为一、二、三、四级，相应建筑构件的燃烧性能和耐火极限，除本规范另有规定外，不应低于表3.2.1的规定。</w:t>
            </w:r>
          </w:p>
          <w:p>
            <w:pPr>
              <w:snapToGrid/>
              <w:spacing w:line="240" w:lineRule="auto"/>
              <w:ind w:left="0" w:leftChars="0" w:firstLine="0" w:firstLineChars="0"/>
              <w:jc w:val="both"/>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宋体" w:cs="Times New Roman"/>
                <w:color w:val="000000"/>
                <w:spacing w:val="0"/>
                <w:kern w:val="2"/>
                <w:sz w:val="21"/>
                <w:szCs w:val="21"/>
                <w:lang w:val="en-US" w:eastAsia="zh-CN"/>
              </w:rPr>
              <w:t>单、多层丙类厂房和多层丁、戊类厂房的耐火等级不应低于三级。</w:t>
            </w:r>
          </w:p>
        </w:tc>
        <w:tc>
          <w:tcPr>
            <w:tcW w:w="2307" w:type="dxa"/>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第3.2.1条、第3.2.3条</w:t>
            </w:r>
          </w:p>
        </w:tc>
        <w:tc>
          <w:tcPr>
            <w:tcW w:w="2234"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生产车间的耐火等级为二级，满足要求。</w:t>
            </w:r>
          </w:p>
        </w:tc>
        <w:tc>
          <w:tcPr>
            <w:tcW w:w="689" w:type="dxa"/>
            <w:noWrap w:val="0"/>
            <w:vAlign w:val="center"/>
          </w:tcPr>
          <w:p>
            <w:pPr>
              <w:spacing w:line="24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bidi="ar-SA"/>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厂房的层数和每个防火分区的最大允许建筑面积应符合《建筑设计防火规范》GB50016-2014要求。</w:t>
            </w:r>
          </w:p>
        </w:tc>
        <w:tc>
          <w:tcPr>
            <w:tcW w:w="2307" w:type="dxa"/>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第3.3.1条</w:t>
            </w:r>
          </w:p>
        </w:tc>
        <w:tc>
          <w:tcPr>
            <w:tcW w:w="2234"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生产车间的层数和每个防火分区的最大允许建筑面积符合规范要求。</w:t>
            </w:r>
          </w:p>
        </w:tc>
        <w:tc>
          <w:tcPr>
            <w:tcW w:w="689" w:type="dxa"/>
            <w:noWrap w:val="0"/>
            <w:vAlign w:val="center"/>
          </w:tcPr>
          <w:p>
            <w:pPr>
              <w:snapToGrid/>
              <w:spacing w:line="240" w:lineRule="auto"/>
              <w:ind w:left="0" w:leftChars="0"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6"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变、配电站不应设置在甲、乙类厂房内或贴邻，且不应设置在爆炸性气体、粉尘环境的危险区域内。供甲、乙类厂房专用的10kV及以下的变、配电站，当采用无门、窗、洞口的防火墙分隔时，可一面贴邻，并应符合现行国家标准《爆炸危险环境电力装置设计规范》GB 50058等标准的规定。</w:t>
            </w:r>
          </w:p>
        </w:tc>
        <w:tc>
          <w:tcPr>
            <w:tcW w:w="2307" w:type="dxa"/>
            <w:noWrap w:val="0"/>
            <w:vAlign w:val="center"/>
          </w:tcPr>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bCs/>
                <w:snapToGrid/>
                <w:color w:val="000000"/>
                <w:w w:val="100"/>
                <w:kern w:val="28"/>
                <w:sz w:val="21"/>
                <w:szCs w:val="21"/>
                <w:lang w:val="en-US" w:eastAsia="zh-CN" w:bidi="ar-SA"/>
              </w:rPr>
              <w:t>第3.3.8条</w:t>
            </w:r>
          </w:p>
        </w:tc>
        <w:tc>
          <w:tcPr>
            <w:tcW w:w="2234"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配电间</w:t>
            </w:r>
            <w:r>
              <w:rPr>
                <w:rFonts w:hint="eastAsia" w:ascii="Times New Roman" w:hAnsi="Times New Roman" w:cs="Times New Roman"/>
                <w:color w:val="000000"/>
                <w:spacing w:val="0"/>
                <w:kern w:val="2"/>
                <w:sz w:val="21"/>
                <w:szCs w:val="21"/>
                <w:lang w:val="en-US" w:eastAsia="zh-CN"/>
              </w:rPr>
              <w:t>未</w:t>
            </w:r>
            <w:r>
              <w:rPr>
                <w:rFonts w:hint="eastAsia" w:ascii="Times New Roman" w:hAnsi="Times New Roman" w:eastAsia="宋体" w:cs="Times New Roman"/>
                <w:color w:val="000000"/>
                <w:spacing w:val="0"/>
                <w:kern w:val="2"/>
                <w:sz w:val="21"/>
                <w:szCs w:val="21"/>
                <w:lang w:val="en-US" w:eastAsia="zh-CN"/>
              </w:rPr>
              <w:t>设置在甲、乙类厂房内</w:t>
            </w:r>
            <w:r>
              <w:rPr>
                <w:rFonts w:hint="eastAsia" w:ascii="Times New Roman" w:hAnsi="Times New Roman" w:cs="Times New Roman"/>
                <w:color w:val="000000"/>
                <w:spacing w:val="0"/>
                <w:kern w:val="2"/>
                <w:sz w:val="21"/>
                <w:szCs w:val="21"/>
                <w:lang w:val="en-US" w:eastAsia="zh-CN"/>
              </w:rPr>
              <w:t>及</w:t>
            </w:r>
            <w:r>
              <w:rPr>
                <w:rFonts w:hint="eastAsia" w:ascii="Times New Roman" w:hAnsi="Times New Roman" w:eastAsia="宋体" w:cs="Times New Roman"/>
                <w:color w:val="000000"/>
                <w:spacing w:val="0"/>
                <w:kern w:val="2"/>
                <w:sz w:val="21"/>
                <w:szCs w:val="21"/>
                <w:lang w:val="en-US" w:eastAsia="zh-CN"/>
              </w:rPr>
              <w:t>贴邻。</w:t>
            </w:r>
          </w:p>
        </w:tc>
        <w:tc>
          <w:tcPr>
            <w:tcW w:w="689" w:type="dxa"/>
            <w:noWrap w:val="0"/>
            <w:vAlign w:val="center"/>
          </w:tcPr>
          <w:p>
            <w:pPr>
              <w:spacing w:line="360" w:lineRule="auto"/>
              <w:ind w:left="-46" w:leftChars="-22" w:right="-63" w:rightChars="-30"/>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事故状态泄漏或散发有毒、有害、易燃、易爆气体工厂的厂址，应远离城镇、居住区、公共设施、村庄、国家和省级干道、国家利地方铁路干线、坷海港区、仓储区、军事设施、机场等人员密集场。</w:t>
            </w:r>
          </w:p>
        </w:tc>
        <w:tc>
          <w:tcPr>
            <w:tcW w:w="2307" w:type="dxa"/>
            <w:noWrap w:val="0"/>
            <w:vAlign w:val="center"/>
          </w:tcPr>
          <w:p>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《化工企业总图运输设计规范》GB50489-</w:t>
            </w:r>
          </w:p>
          <w:p>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2009第3.1.10条</w:t>
            </w:r>
          </w:p>
        </w:tc>
        <w:tc>
          <w:tcPr>
            <w:tcW w:w="2234"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厂区在规划区内，周边无重要保护设施。</w:t>
            </w:r>
          </w:p>
        </w:tc>
        <w:tc>
          <w:tcPr>
            <w:tcW w:w="689" w:type="dxa"/>
            <w:noWrap w:val="0"/>
            <w:vAlign w:val="center"/>
          </w:tcPr>
          <w:p>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blHeader/>
          <w:jc w:val="center"/>
        </w:trPr>
        <w:tc>
          <w:tcPr>
            <w:tcW w:w="674" w:type="dxa"/>
            <w:noWrap w:val="0"/>
            <w:vAlign w:val="center"/>
          </w:tcPr>
          <w:p>
            <w:pPr>
              <w:numPr>
                <w:ilvl w:val="0"/>
                <w:numId w:val="21"/>
              </w:numPr>
              <w:spacing w:line="240" w:lineRule="auto"/>
              <w:ind w:left="420" w:leftChars="0" w:right="-63" w:rightChars="-30" w:hanging="320" w:firstLineChars="0"/>
              <w:jc w:val="both"/>
              <w:rPr>
                <w:rFonts w:hint="default" w:ascii="Times New Roman" w:hAnsi="Times New Roman" w:eastAsia="宋体" w:cs="Times New Roman"/>
                <w:color w:val="auto"/>
                <w:sz w:val="21"/>
                <w:szCs w:val="21"/>
              </w:rPr>
            </w:pPr>
          </w:p>
        </w:tc>
        <w:tc>
          <w:tcPr>
            <w:tcW w:w="3412" w:type="dxa"/>
            <w:noWrap w:val="0"/>
            <w:vAlign w:val="center"/>
          </w:tcPr>
          <w:p>
            <w:pPr>
              <w:widowControl/>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消防车道的净宽度和净空高度均不应小于4.0m。供消防车停留的空地，其坡度不宜大于3% 。消防车道与厂房（仓库）、民用建筑之间不应设置妨碍消防车作业的障碍物。</w:t>
            </w:r>
          </w:p>
        </w:tc>
        <w:tc>
          <w:tcPr>
            <w:tcW w:w="2307" w:type="dxa"/>
            <w:noWrap w:val="0"/>
            <w:vAlign w:val="center"/>
          </w:tcPr>
          <w:p>
            <w:pPr>
              <w:widowControl/>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第6.0.9条</w:t>
            </w:r>
          </w:p>
        </w:tc>
        <w:tc>
          <w:tcPr>
            <w:tcW w:w="2234" w:type="dxa"/>
            <w:noWrap w:val="0"/>
            <w:vAlign w:val="center"/>
          </w:tcPr>
          <w:p>
            <w:pPr>
              <w:spacing w:line="240" w:lineRule="auto"/>
              <w:jc w:val="both"/>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消防车道路宽大于4m</w:t>
            </w:r>
            <w:r>
              <w:rPr>
                <w:rFonts w:hint="eastAsia" w:cs="Times New Roman"/>
                <w:color w:val="auto"/>
                <w:sz w:val="21"/>
                <w:szCs w:val="21"/>
                <w:lang w:eastAsia="zh-CN"/>
              </w:rPr>
              <w:t>。</w:t>
            </w:r>
          </w:p>
        </w:tc>
        <w:tc>
          <w:tcPr>
            <w:tcW w:w="689" w:type="dxa"/>
            <w:noWrap w:val="0"/>
            <w:vAlign w:val="center"/>
          </w:tcPr>
          <w:p>
            <w:pPr>
              <w:widowControl/>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rPr>
              <w:t>符合</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560" w:firstLineChars="200"/>
        <w:jc w:val="left"/>
        <w:textAlignment w:val="auto"/>
        <w:rPr>
          <w:rFonts w:hint="eastAsia" w:ascii="Times New Roman" w:hAnsi="Times New Roman" w:eastAsia="宋体" w:cs="Times New Roman"/>
          <w:kern w:val="2"/>
          <w:sz w:val="28"/>
          <w:szCs w:val="28"/>
          <w:lang w:val="zh-CN" w:eastAsia="zh-CN" w:bidi="ar-SA"/>
        </w:rPr>
      </w:pPr>
      <w:r>
        <w:rPr>
          <w:rFonts w:hint="eastAsia" w:ascii="Times New Roman" w:hAnsi="Times New Roman" w:eastAsia="宋体" w:cs="Times New Roman"/>
          <w:kern w:val="2"/>
          <w:sz w:val="28"/>
          <w:szCs w:val="28"/>
          <w:lang w:val="zh-CN" w:eastAsia="zh-CN" w:bidi="ar-SA"/>
        </w:rPr>
        <w:t>小结：周边环境及</w:t>
      </w:r>
      <w:r>
        <w:rPr>
          <w:rFonts w:hint="default" w:ascii="Times New Roman" w:hAnsi="Times New Roman" w:eastAsia="宋体" w:cs="Times New Roman"/>
          <w:kern w:val="2"/>
          <w:sz w:val="28"/>
          <w:szCs w:val="28"/>
          <w:lang w:val="zh-CN" w:eastAsia="zh-CN" w:bidi="ar-SA"/>
        </w:rPr>
        <w:t>总平面布置单元共检查了</w:t>
      </w:r>
      <w:r>
        <w:rPr>
          <w:rFonts w:hint="eastAsia" w:cs="Times New Roman"/>
          <w:kern w:val="2"/>
          <w:sz w:val="28"/>
          <w:szCs w:val="28"/>
          <w:lang w:val="en-US" w:eastAsia="zh-CN" w:bidi="ar-SA"/>
        </w:rPr>
        <w:t>13</w:t>
      </w:r>
      <w:r>
        <w:rPr>
          <w:rFonts w:hint="default" w:ascii="Times New Roman" w:hAnsi="Times New Roman" w:eastAsia="宋体" w:cs="Times New Roman"/>
          <w:kern w:val="2"/>
          <w:sz w:val="28"/>
          <w:szCs w:val="28"/>
          <w:lang w:val="zh-CN" w:eastAsia="zh-CN" w:bidi="ar-SA"/>
        </w:rPr>
        <w:t>项，均符合要求。</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sz w:val="28"/>
          <w:szCs w:val="28"/>
          <w:lang w:val="en-US" w:eastAsia="zh-CN"/>
        </w:rPr>
      </w:pPr>
      <w:bookmarkStart w:id="350" w:name="_Toc14216_WPSOffice_Level1"/>
      <w:bookmarkStart w:id="351" w:name="_Toc3060_WPSOffice_Level1"/>
      <w:bookmarkStart w:id="352" w:name="_Toc22737_WPSOffice_Level1"/>
      <w:r>
        <w:rPr>
          <w:rFonts w:hint="eastAsia"/>
          <w:sz w:val="28"/>
          <w:szCs w:val="28"/>
          <w:lang w:val="en-US" w:eastAsia="zh-CN"/>
        </w:rPr>
        <w:t>（2）生产单元安全检查表</w:t>
      </w:r>
      <w:bookmarkEnd w:id="350"/>
      <w:bookmarkEnd w:id="351"/>
      <w:bookmarkEnd w:id="352"/>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bookmarkStart w:id="353" w:name="_Toc3419_WPSOffice_Level1"/>
      <w:bookmarkStart w:id="354" w:name="_Toc10980_WPSOffice_Level2"/>
      <w:bookmarkStart w:id="355" w:name="_Toc30842_WPSOffice_Level1"/>
      <w:r>
        <w:rPr>
          <w:rFonts w:hint="eastAsia" w:ascii="Times New Roman" w:hAnsi="Times New Roman" w:eastAsia="黑体" w:cs="Times New Roman"/>
          <w:b w:val="0"/>
          <w:bCs w:val="0"/>
          <w:color w:val="000000"/>
          <w:kern w:val="28"/>
          <w:sz w:val="21"/>
          <w:szCs w:val="21"/>
          <w:lang w:val="en-US" w:eastAsia="zh-CN" w:bidi="ar-SA"/>
        </w:rPr>
        <w:t>附表3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 xml:space="preserve">2 </w:t>
      </w:r>
      <w:r>
        <w:rPr>
          <w:rFonts w:hint="eastAsia" w:eastAsia="黑体" w:cs="Times New Roman"/>
          <w:b w:val="0"/>
          <w:bCs w:val="0"/>
          <w:color w:val="000000"/>
          <w:kern w:val="28"/>
          <w:sz w:val="21"/>
          <w:szCs w:val="21"/>
          <w:lang w:val="en-US" w:eastAsia="zh-CN" w:bidi="ar-SA"/>
        </w:rPr>
        <w:t>生产单元</w:t>
      </w:r>
      <w:r>
        <w:rPr>
          <w:rFonts w:hint="eastAsia" w:ascii="Times New Roman" w:hAnsi="Times New Roman" w:eastAsia="黑体" w:cs="Times New Roman"/>
          <w:b w:val="0"/>
          <w:bCs w:val="0"/>
          <w:color w:val="000000"/>
          <w:kern w:val="28"/>
          <w:sz w:val="21"/>
          <w:szCs w:val="21"/>
          <w:lang w:val="en-US" w:eastAsia="zh-CN" w:bidi="ar-SA"/>
        </w:rPr>
        <w:t>安全检查表</w:t>
      </w:r>
      <w:bookmarkEnd w:id="353"/>
      <w:bookmarkEnd w:id="354"/>
      <w:bookmarkEnd w:id="355"/>
    </w:p>
    <w:tbl>
      <w:tblPr>
        <w:tblStyle w:val="37"/>
        <w:tblW w:w="9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3300"/>
        <w:gridCol w:w="2358"/>
        <w:gridCol w:w="2405"/>
        <w:gridCol w:w="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42" w:type="dxa"/>
            <w:noWrap w:val="0"/>
            <w:vAlign w:val="center"/>
          </w:tcPr>
          <w:p>
            <w:pPr>
              <w:numPr>
                <w:ilvl w:val="0"/>
                <w:numId w:val="0"/>
              </w:numPr>
              <w:spacing w:line="240" w:lineRule="auto"/>
              <w:ind w:left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3300"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检查内容</w:t>
            </w:r>
          </w:p>
        </w:tc>
        <w:tc>
          <w:tcPr>
            <w:tcW w:w="2358"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依据</w:t>
            </w:r>
          </w:p>
        </w:tc>
        <w:tc>
          <w:tcPr>
            <w:tcW w:w="2405"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实际情况</w:t>
            </w:r>
          </w:p>
        </w:tc>
        <w:tc>
          <w:tcPr>
            <w:tcW w:w="684" w:type="dxa"/>
            <w:noWrap w:val="0"/>
            <w:vAlign w:val="center"/>
          </w:tcPr>
          <w:p>
            <w:pPr>
              <w:spacing w:line="240" w:lineRule="auto"/>
              <w:jc w:val="center"/>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有爆炸危险的厂房或厂房内有爆炸危险的部位应设置泄压设施。</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000000"/>
                <w:spacing w:val="0"/>
                <w:kern w:val="2"/>
                <w:sz w:val="21"/>
                <w:szCs w:val="21"/>
                <w:lang w:val="en-US" w:eastAsia="zh-CN"/>
              </w:rPr>
              <w:t>第3.6.2条</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eastAsia="zh-CN"/>
              </w:rPr>
              <w:t>精制工段</w:t>
            </w:r>
            <w:r>
              <w:rPr>
                <w:rFonts w:hint="default" w:ascii="Times New Roman" w:hAnsi="Times New Roman" w:eastAsia="宋体" w:cs="Times New Roman"/>
                <w:b w:val="0"/>
                <w:bCs w:val="0"/>
                <w:color w:val="auto"/>
                <w:sz w:val="21"/>
                <w:szCs w:val="21"/>
                <w:lang w:eastAsia="zh-CN"/>
              </w:rPr>
              <w:t>的门窗可作为泄压设施，且采用轻质屋顶。</w:t>
            </w:r>
          </w:p>
        </w:tc>
        <w:tc>
          <w:tcPr>
            <w:tcW w:w="684" w:type="dxa"/>
            <w:noWrap w:val="0"/>
            <w:vAlign w:val="center"/>
          </w:tcPr>
          <w:p>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厂房的安全出口应分散布置。每个防火分区或一个防火分区的每个楼层，其相邻2个安全出口最近边缘之间的水平距离不应小于5m。</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000000"/>
                <w:spacing w:val="0"/>
                <w:kern w:val="2"/>
                <w:sz w:val="21"/>
                <w:szCs w:val="21"/>
                <w:lang w:val="en-US" w:eastAsia="zh-CN"/>
              </w:rPr>
              <w:t>第3.7.1条</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eastAsia="zh-CN"/>
              </w:rPr>
              <w:t>生产车间均不少于2个安全出口；两个出口距离大于5m。</w:t>
            </w:r>
          </w:p>
        </w:tc>
        <w:tc>
          <w:tcPr>
            <w:tcW w:w="684" w:type="dxa"/>
            <w:noWrap w:val="0"/>
            <w:vAlign w:val="center"/>
          </w:tcPr>
          <w:p>
            <w:pPr>
              <w:spacing w:line="36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pacing w:line="240" w:lineRule="auto"/>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000000"/>
                <w:spacing w:val="0"/>
                <w:kern w:val="2"/>
                <w:sz w:val="21"/>
                <w:szCs w:val="21"/>
                <w:lang w:val="en-US" w:eastAsia="zh-CN"/>
              </w:rPr>
              <w:t>厂房内任一点至最近安全出口的直线距离不应大于表3.7.4的规定。</w:t>
            </w:r>
          </w:p>
        </w:tc>
        <w:tc>
          <w:tcPr>
            <w:tcW w:w="2358" w:type="dxa"/>
            <w:noWrap w:val="0"/>
            <w:vAlign w:val="center"/>
          </w:tcPr>
          <w:p>
            <w:pPr>
              <w:spacing w:line="240" w:lineRule="auto"/>
              <w:jc w:val="center"/>
              <w:rPr>
                <w:rFonts w:hint="default" w:ascii="Times New Roman" w:hAnsi="Times New Roman" w:eastAsia="宋体" w:cs="Times New Roman"/>
                <w:color w:val="000000"/>
                <w:spacing w:val="0"/>
                <w:kern w:val="2"/>
                <w:sz w:val="21"/>
                <w:szCs w:val="21"/>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000000"/>
                <w:spacing w:val="0"/>
                <w:kern w:val="2"/>
                <w:sz w:val="21"/>
                <w:szCs w:val="21"/>
              </w:rPr>
              <w:t>第3.7.4条</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eastAsia="zh-CN"/>
              </w:rPr>
              <w:t>生产车间</w:t>
            </w:r>
            <w:r>
              <w:rPr>
                <w:rFonts w:hint="default" w:ascii="Times New Roman" w:hAnsi="Times New Roman" w:eastAsia="宋体" w:cs="Times New Roman"/>
                <w:b w:val="0"/>
                <w:bCs w:val="0"/>
                <w:color w:val="auto"/>
                <w:sz w:val="21"/>
                <w:szCs w:val="21"/>
              </w:rPr>
              <w:t>内任一点到最近安全出口的距离不大于30m。</w:t>
            </w:r>
          </w:p>
        </w:tc>
        <w:tc>
          <w:tcPr>
            <w:tcW w:w="684" w:type="dxa"/>
            <w:noWrap w:val="0"/>
            <w:vAlign w:val="center"/>
          </w:tcPr>
          <w:p>
            <w:pPr>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生产车间外门的最小净宽是否不小于1.2m</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第3.7.5条</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生产车间外门的最小净宽大于1.2m。</w:t>
            </w:r>
          </w:p>
        </w:tc>
        <w:tc>
          <w:tcPr>
            <w:tcW w:w="684" w:type="dxa"/>
            <w:noWrap w:val="0"/>
            <w:vAlign w:val="center"/>
          </w:tcPr>
          <w:p>
            <w:pPr>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厂房的疏散门应采用疏散方向开启的平开门。</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eastAsia" w:ascii="Times New Roman" w:hAnsi="Times New Roman" w:eastAsia="宋体" w:cs="Times New Roman"/>
                <w:bCs/>
                <w:snapToGrid/>
                <w:color w:val="000000"/>
                <w:w w:val="100"/>
                <w:kern w:val="28"/>
                <w:sz w:val="21"/>
                <w:szCs w:val="21"/>
                <w:lang w:val="en-US" w:eastAsia="zh-CN" w:bidi="ar-SA"/>
              </w:rPr>
              <w:t>第6.4.11条</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eastAsia="zh-CN"/>
              </w:rPr>
              <w:t>生产车间设有疏散方向开启的平开门。</w:t>
            </w:r>
          </w:p>
        </w:tc>
        <w:tc>
          <w:tcPr>
            <w:tcW w:w="684" w:type="dxa"/>
            <w:noWrap w:val="0"/>
            <w:vAlign w:val="center"/>
          </w:tcPr>
          <w:p>
            <w:pPr>
              <w:spacing w:line="360" w:lineRule="auto"/>
              <w:ind w:left="-46" w:leftChars="-22" w:right="-63" w:rightChars="-30"/>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使用淘汰落后安全技术工艺、设备目录列出的工艺、设备。</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《关于印发淘汰落后安全技术装备目录（2015年第一批）的通知》（安监总厅科技</w:t>
            </w:r>
            <w:r>
              <w:rPr>
                <w:rFonts w:hint="eastAsia" w:ascii="Times New Roman" w:hAnsi="Times New Roman" w:eastAsia="宋体"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2015</w:t>
            </w:r>
            <w:r>
              <w:rPr>
                <w:rFonts w:hint="eastAsia" w:ascii="Times New Roman" w:hAnsi="Times New Roman" w:eastAsia="宋体"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43号）、《关于印发淘汰落后安全技术工艺、设备目录（2016年）的通知》（安监总科技</w:t>
            </w:r>
            <w:r>
              <w:rPr>
                <w:rFonts w:hint="eastAsia" w:ascii="Times New Roman" w:hAnsi="Times New Roman" w:eastAsia="宋体"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2016</w:t>
            </w:r>
            <w:r>
              <w:rPr>
                <w:rFonts w:hint="eastAsia" w:ascii="Times New Roman" w:hAnsi="Times New Roman" w:eastAsia="宋体"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137号）</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lang w:eastAsia="zh-CN"/>
              </w:rPr>
            </w:pPr>
            <w:r>
              <w:rPr>
                <w:rFonts w:hint="eastAsia" w:cs="Times New Roman"/>
                <w:b w:val="0"/>
                <w:bCs w:val="0"/>
                <w:color w:val="auto"/>
                <w:sz w:val="21"/>
                <w:szCs w:val="21"/>
                <w:lang w:eastAsia="zh-CN"/>
              </w:rPr>
              <w:t>该企业</w:t>
            </w:r>
            <w:r>
              <w:rPr>
                <w:rFonts w:hint="default" w:ascii="Times New Roman" w:hAnsi="Times New Roman" w:eastAsia="宋体" w:cs="Times New Roman"/>
                <w:b w:val="0"/>
                <w:bCs w:val="0"/>
                <w:color w:val="auto"/>
                <w:sz w:val="21"/>
                <w:szCs w:val="21"/>
                <w:lang w:eastAsia="zh-CN"/>
              </w:rPr>
              <w:t>未使用淘汰落后安全技术工艺、设备目录列出的工艺、设备。</w:t>
            </w:r>
          </w:p>
        </w:tc>
        <w:tc>
          <w:tcPr>
            <w:tcW w:w="684" w:type="dxa"/>
            <w:noWrap w:val="0"/>
            <w:vAlign w:val="center"/>
          </w:tcPr>
          <w:p>
            <w:pPr>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pacing w:line="240" w:lineRule="auto"/>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生产车间应当配备必要的应急救援器材、设备和物资。</w:t>
            </w:r>
          </w:p>
        </w:tc>
        <w:tc>
          <w:tcPr>
            <w:tcW w:w="2358" w:type="dxa"/>
            <w:noWrap w:val="0"/>
            <w:vAlign w:val="center"/>
          </w:tcPr>
          <w:p>
            <w:pPr>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《安全生产法》</w:t>
            </w:r>
          </w:p>
          <w:p>
            <w:pPr>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第</w:t>
            </w:r>
            <w:r>
              <w:rPr>
                <w:rFonts w:hint="default" w:ascii="Times New Roman" w:hAnsi="Times New Roman" w:eastAsia="宋体" w:cs="Times New Roman"/>
                <w:b w:val="0"/>
                <w:bCs w:val="0"/>
                <w:color w:val="auto"/>
                <w:sz w:val="21"/>
                <w:szCs w:val="21"/>
                <w:lang w:eastAsia="zh-CN"/>
              </w:rPr>
              <w:t>八十二</w:t>
            </w:r>
            <w:r>
              <w:rPr>
                <w:rFonts w:hint="default" w:ascii="Times New Roman" w:hAnsi="Times New Roman" w:eastAsia="宋体" w:cs="Times New Roman"/>
                <w:b w:val="0"/>
                <w:bCs w:val="0"/>
                <w:color w:val="auto"/>
                <w:sz w:val="21"/>
                <w:szCs w:val="21"/>
              </w:rPr>
              <w:t>条</w:t>
            </w:r>
          </w:p>
        </w:tc>
        <w:tc>
          <w:tcPr>
            <w:tcW w:w="2405" w:type="dxa"/>
            <w:noWrap w:val="0"/>
            <w:vAlign w:val="center"/>
          </w:tcPr>
          <w:p>
            <w:pPr>
              <w:spacing w:line="240" w:lineRule="auto"/>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车间内配备了相应的救援设备物资</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灭火器</w:t>
            </w:r>
            <w:r>
              <w:rPr>
                <w:rFonts w:hint="default" w:ascii="Times New Roman" w:hAnsi="Times New Roman" w:eastAsia="宋体" w:cs="Times New Roman"/>
                <w:b w:val="0"/>
                <w:bCs w:val="0"/>
                <w:color w:val="auto"/>
                <w:sz w:val="21"/>
                <w:szCs w:val="21"/>
                <w:lang w:eastAsia="zh-CN"/>
              </w:rPr>
              <w:t>等</w:t>
            </w:r>
            <w:r>
              <w:rPr>
                <w:rFonts w:hint="default" w:ascii="Times New Roman" w:hAnsi="Times New Roman" w:eastAsia="宋体" w:cs="Times New Roman"/>
                <w:b w:val="0"/>
                <w:bCs w:val="0"/>
                <w:color w:val="auto"/>
                <w:sz w:val="21"/>
                <w:szCs w:val="21"/>
              </w:rPr>
              <w:t>。</w:t>
            </w:r>
          </w:p>
        </w:tc>
        <w:tc>
          <w:tcPr>
            <w:tcW w:w="684" w:type="dxa"/>
            <w:noWrap w:val="0"/>
            <w:vAlign w:val="center"/>
          </w:tcPr>
          <w:p>
            <w:pPr>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生产设备上供人员作业的工作位置应安全可靠。其工作空间应保证操作人员的头、臂、手、腿、足在正常作业中有充分的活动余地。危险作业点应留有足够的退避空间。</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《生产设备安全卫生设计总则》</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GB5083-</w:t>
            </w:r>
          </w:p>
          <w:p>
            <w:pPr>
              <w:snapToGrid/>
              <w:spacing w:line="240" w:lineRule="auto"/>
              <w:ind w:left="0" w:leftChars="0" w:firstLine="0" w:firstLineChars="0"/>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1999</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第5.7条</w:t>
            </w:r>
          </w:p>
        </w:tc>
        <w:tc>
          <w:tcPr>
            <w:tcW w:w="2405"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作业场所留有充足的活动余地。</w:t>
            </w:r>
          </w:p>
        </w:tc>
        <w:tc>
          <w:tcPr>
            <w:tcW w:w="684" w:type="dxa"/>
            <w:noWrap w:val="0"/>
            <w:vAlign w:val="center"/>
          </w:tcPr>
          <w:p>
            <w:pPr>
              <w:spacing w:line="240" w:lineRule="auto"/>
              <w:ind w:left="0" w:leftChars="0" w:firstLine="0" w:firstLineChars="0"/>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3300" w:type="dxa"/>
            <w:noWrap w:val="0"/>
            <w:vAlign w:val="center"/>
          </w:tcPr>
          <w:p>
            <w:pPr>
              <w:spacing w:line="240" w:lineRule="auto"/>
              <w:jc w:val="both"/>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对操作人员在设备运行时可能触及的可动零部件，必须配置必要的安全防护装置</w:t>
            </w:r>
            <w:r>
              <w:rPr>
                <w:rFonts w:hint="eastAsia" w:cs="Times New Roman"/>
                <w:b w:val="0"/>
                <w:bCs w:val="0"/>
                <w:color w:val="000000" w:themeColor="text1"/>
                <w:sz w:val="21"/>
                <w:szCs w:val="21"/>
                <w:lang w:eastAsia="zh-CN"/>
                <w14:textFill>
                  <w14:solidFill>
                    <w14:schemeClr w14:val="tx1"/>
                  </w14:solidFill>
                </w14:textFill>
              </w:rPr>
              <w:t>。</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《生产设备安全卫生设计总则》</w:t>
            </w:r>
            <w:r>
              <w:rPr>
                <w:rFonts w:hint="eastAsia" w:cs="Times New Roman"/>
                <w:bCs/>
                <w:snapToGrid/>
                <w:color w:val="000000" w:themeColor="text1"/>
                <w:w w:val="100"/>
                <w:kern w:val="28"/>
                <w:sz w:val="21"/>
                <w:szCs w:val="21"/>
                <w:lang w:val="en-US" w:eastAsia="zh-CN" w:bidi="ar-SA"/>
                <w14:textFill>
                  <w14:solidFill>
                    <w14:schemeClr w14:val="tx1"/>
                  </w14:solidFill>
                </w14:textFill>
              </w:rPr>
              <w:t>（</w:t>
            </w: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GB5083-</w:t>
            </w:r>
          </w:p>
          <w:p>
            <w:pPr>
              <w:snapToGrid/>
              <w:spacing w:line="240" w:lineRule="auto"/>
              <w:ind w:left="0" w:leftChars="0" w:firstLine="0" w:firstLineChars="0"/>
              <w:jc w:val="cente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1999</w:t>
            </w:r>
            <w:r>
              <w:rPr>
                <w:rFonts w:hint="eastAsia" w:cs="Times New Roman"/>
                <w:bCs/>
                <w:snapToGrid/>
                <w:color w:val="000000" w:themeColor="text1"/>
                <w:w w:val="100"/>
                <w:kern w:val="28"/>
                <w:sz w:val="21"/>
                <w:szCs w:val="21"/>
                <w:lang w:val="en-US" w:eastAsia="zh-CN" w:bidi="ar-SA"/>
                <w14:textFill>
                  <w14:solidFill>
                    <w14:schemeClr w14:val="tx1"/>
                  </w14:solidFill>
                </w14:textFill>
              </w:rPr>
              <w:t>）</w:t>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第6.1.2条</w:t>
            </w:r>
          </w:p>
        </w:tc>
        <w:tc>
          <w:tcPr>
            <w:tcW w:w="2405" w:type="dxa"/>
            <w:noWrap w:val="0"/>
            <w:vAlign w:val="center"/>
          </w:tcPr>
          <w:p>
            <w:pPr>
              <w:snapToGrid/>
              <w:spacing w:line="240" w:lineRule="auto"/>
              <w:ind w:left="0" w:leftChars="0" w:firstLine="0" w:firstLineChars="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电机皮带轮设防护罩。</w:t>
            </w:r>
          </w:p>
        </w:tc>
        <w:tc>
          <w:tcPr>
            <w:tcW w:w="684" w:type="dxa"/>
            <w:noWrap w:val="0"/>
            <w:vAlign w:val="center"/>
          </w:tcPr>
          <w:p>
            <w:pPr>
              <w:spacing w:line="240" w:lineRule="auto"/>
              <w:jc w:val="center"/>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3300" w:type="dxa"/>
            <w:noWrap w:val="0"/>
            <w:vAlign w:val="center"/>
          </w:tcPr>
          <w:p>
            <w:pPr>
              <w:spacing w:line="240" w:lineRule="auto"/>
              <w:jc w:val="both"/>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高速轴联轴器、低速轴联轴器、制动轮、制动盘、都应加防护罩。</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pP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w:t>
            </w:r>
            <w:r>
              <w:rPr>
                <w:rFonts w:hint="eastAsia" w:cs="Times New Roman"/>
                <w:bCs/>
                <w:snapToGrid/>
                <w:color w:val="000000" w:themeColor="text1"/>
                <w:w w:val="100"/>
                <w:kern w:val="28"/>
                <w:sz w:val="21"/>
                <w:szCs w:val="21"/>
                <w:lang w:val="en-US" w:eastAsia="zh-CN" w:bidi="ar-SA"/>
                <w14:textFill>
                  <w14:solidFill>
                    <w14:schemeClr w14:val="tx1"/>
                  </w14:solidFill>
                </w14:textFill>
              </w:rPr>
              <w:t>带式输送机 安全规范</w:t>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fldChar w:fldCharType="begin"/>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instrText xml:space="preserve"> HYPERLINK "http://www.jianbiaoku.com/webarbs/book/66997/1270600.shtml" \t "http://www.jianbiaoku.com/webarbs/book/66997/_self" </w:instrText>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fldChar w:fldCharType="separate"/>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》（GB14784-2013</w:t>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fldChar w:fldCharType="end"/>
            </w:r>
            <w:r>
              <w:rPr>
                <w:rFonts w:hint="eastAsia"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）第4.1.5条</w:t>
            </w:r>
          </w:p>
        </w:tc>
        <w:tc>
          <w:tcPr>
            <w:tcW w:w="2405" w:type="dxa"/>
            <w:noWrap w:val="0"/>
            <w:vAlign w:val="center"/>
          </w:tcPr>
          <w:p>
            <w:pPr>
              <w:spacing w:line="240" w:lineRule="auto"/>
              <w:jc w:val="both"/>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生产车间皮带输送机机头等未设防护罩。</w:t>
            </w:r>
          </w:p>
        </w:tc>
        <w:tc>
          <w:tcPr>
            <w:tcW w:w="684" w:type="dxa"/>
            <w:noWrap w:val="0"/>
            <w:vAlign w:val="center"/>
          </w:tcPr>
          <w:p>
            <w:pPr>
              <w:spacing w:line="240" w:lineRule="auto"/>
              <w:jc w:val="center"/>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3300" w:type="dxa"/>
            <w:noWrap w:val="0"/>
            <w:vAlign w:val="center"/>
          </w:tcPr>
          <w:p>
            <w:pPr>
              <w:spacing w:line="240" w:lineRule="auto"/>
              <w:jc w:val="both"/>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爆炸危险区域内电气设备应使用防爆型。</w:t>
            </w:r>
          </w:p>
          <w:p>
            <w:pPr>
              <w:spacing w:line="240" w:lineRule="auto"/>
              <w:jc w:val="both"/>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爆炸危险场所的仪表、仪表线路的防爆等级应满足区域的防爆要求。</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right="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12"/>
                <w:sz w:val="21"/>
                <w:szCs w:val="21"/>
                <w14:textFill>
                  <w14:solidFill>
                    <w14:schemeClr w14:val="tx1"/>
                  </w14:solidFill>
                </w14:textFill>
              </w:rPr>
              <w:t>《爆炸危险环境电力装置设计规范》</w:t>
            </w:r>
            <w:r>
              <w:rPr>
                <w:rFonts w:hint="eastAsia" w:cs="Times New Roman"/>
                <w:color w:val="000000" w:themeColor="text1"/>
                <w:spacing w:val="12"/>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12"/>
                <w:sz w:val="21"/>
                <w:szCs w:val="21"/>
                <w14:textFill>
                  <w14:solidFill>
                    <w14:schemeClr w14:val="tx1"/>
                  </w14:solidFill>
                </w14:textFill>
              </w:rPr>
              <w:t>GB50058-2014</w:t>
            </w:r>
            <w:r>
              <w:rPr>
                <w:rFonts w:hint="eastAsia" w:cs="Times New Roman"/>
                <w:color w:val="000000" w:themeColor="text1"/>
                <w:spacing w:val="12"/>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第3.1.1条</w:t>
            </w:r>
            <w:r>
              <w:rPr>
                <w:rFonts w:hint="eastAsia" w:cs="Times New Roman"/>
                <w:color w:val="000000" w:themeColor="text1"/>
                <w:spacing w:val="0"/>
                <w:kern w:val="2"/>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12"/>
                <w:sz w:val="21"/>
                <w:szCs w:val="21"/>
                <w:shd w:val="clear" w:color="auto" w:fill="auto"/>
                <w14:textFill>
                  <w14:solidFill>
                    <w14:schemeClr w14:val="tx1"/>
                  </w14:solidFill>
                </w14:textFill>
              </w:rPr>
              <w:t>第5.2.3条</w:t>
            </w:r>
          </w:p>
        </w:tc>
        <w:tc>
          <w:tcPr>
            <w:tcW w:w="2405" w:type="dxa"/>
            <w:noWrap w:val="0"/>
            <w:vAlign w:val="center"/>
          </w:tcPr>
          <w:p>
            <w:pPr>
              <w:spacing w:line="240" w:lineRule="auto"/>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精制车间外接区域电气</w:t>
            </w:r>
            <w:r>
              <w:rPr>
                <w:rFonts w:hint="default" w:ascii="Times New Roman" w:hAnsi="Times New Roman" w:eastAsia="宋体" w:cs="Times New Roman"/>
                <w:color w:val="000000" w:themeColor="text1"/>
                <w:lang w:val="en-US" w:eastAsia="zh-CN"/>
                <w14:textFill>
                  <w14:solidFill>
                    <w14:schemeClr w14:val="tx1"/>
                  </w14:solidFill>
                </w14:textFill>
              </w:rPr>
              <w:t>设备不防爆。</w:t>
            </w:r>
          </w:p>
        </w:tc>
        <w:tc>
          <w:tcPr>
            <w:tcW w:w="684" w:type="dxa"/>
            <w:noWrap w:val="0"/>
            <w:vAlign w:val="center"/>
          </w:tcPr>
          <w:p>
            <w:pPr>
              <w:spacing w:line="240" w:lineRule="auto"/>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shd w:val="clear" w:color="auto" w:fill="auto"/>
                <w14:textFill>
                  <w14:solidFill>
                    <w14:schemeClr w14:val="tx1"/>
                  </w14:solidFill>
                </w14:textFill>
              </w:rPr>
            </w:pPr>
          </w:p>
        </w:tc>
        <w:tc>
          <w:tcPr>
            <w:tcW w:w="3300" w:type="dxa"/>
            <w:noWrap w:val="0"/>
            <w:vAlign w:val="center"/>
          </w:tcPr>
          <w:p>
            <w:pPr>
              <w:spacing w:line="240" w:lineRule="auto"/>
              <w:jc w:val="both"/>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敷设电气线路的沟道电缆或钢管所穿过的不同区域之间墙或楼板处的孔洞应采用非燃性材料严密堵塞。</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right="0"/>
              <w:jc w:val="center"/>
              <w:rPr>
                <w:rFonts w:hint="default" w:ascii="Times New Roman" w:hAnsi="Times New Roman" w:eastAsia="宋体" w:cs="Times New Roman"/>
                <w:color w:val="000000" w:themeColor="text1"/>
                <w:spacing w:val="1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12"/>
                <w:sz w:val="21"/>
                <w:szCs w:val="21"/>
                <w14:textFill>
                  <w14:solidFill>
                    <w14:schemeClr w14:val="tx1"/>
                  </w14:solidFill>
                </w14:textFill>
              </w:rPr>
              <w:t>《爆炸危险环境电力装置设计规范》</w:t>
            </w:r>
            <w:r>
              <w:rPr>
                <w:rFonts w:hint="eastAsia" w:cs="Times New Roman"/>
                <w:color w:val="000000" w:themeColor="text1"/>
                <w:spacing w:val="12"/>
                <w:sz w:val="21"/>
                <w:szCs w:val="21"/>
                <w:lang w:eastAsia="zh-CN"/>
                <w14:textFill>
                  <w14:solidFill>
                    <w14:schemeClr w14:val="tx1"/>
                  </w14:solidFill>
                </w14:textFill>
              </w:rPr>
              <w:t>（</w:t>
            </w:r>
            <w:r>
              <w:rPr>
                <w:rFonts w:hint="default" w:ascii="Times New Roman" w:hAnsi="Times New Roman" w:eastAsia="宋体" w:cs="Times New Roman"/>
                <w:color w:val="000000" w:themeColor="text1"/>
                <w:spacing w:val="12"/>
                <w:sz w:val="21"/>
                <w:szCs w:val="21"/>
                <w14:textFill>
                  <w14:solidFill>
                    <w14:schemeClr w14:val="tx1"/>
                  </w14:solidFill>
                </w14:textFill>
              </w:rPr>
              <w:t>GB50058-2014</w:t>
            </w:r>
            <w:r>
              <w:rPr>
                <w:rFonts w:hint="eastAsia" w:cs="Times New Roman"/>
                <w:color w:val="000000" w:themeColor="text1"/>
                <w:spacing w:val="12"/>
                <w:sz w:val="21"/>
                <w:szCs w:val="21"/>
                <w:lang w:eastAsia="zh-CN"/>
                <w14:textFill>
                  <w14:solidFill>
                    <w14:schemeClr w14:val="tx1"/>
                  </w14:solidFill>
                </w14:textFill>
              </w:rPr>
              <w:t>）</w:t>
            </w:r>
            <w:r>
              <w:rPr>
                <w:rFonts w:hint="eastAsia" w:ascii="Times New Roman" w:hAnsi="Times New Roman" w:eastAsia="宋体" w:cs="Times New Roman"/>
                <w:color w:val="000000" w:themeColor="text1"/>
                <w:spacing w:val="12"/>
                <w:sz w:val="21"/>
                <w:szCs w:val="21"/>
                <w14:textFill>
                  <w14:solidFill>
                    <w14:schemeClr w14:val="tx1"/>
                  </w14:solidFill>
                </w14:textFill>
              </w:rPr>
              <w:t xml:space="preserve">     第5.4.3条</w:t>
            </w:r>
          </w:p>
        </w:tc>
        <w:tc>
          <w:tcPr>
            <w:tcW w:w="2405" w:type="dxa"/>
            <w:noWrap w:val="0"/>
            <w:vAlign w:val="center"/>
          </w:tcPr>
          <w:p>
            <w:pPr>
              <w:spacing w:line="240" w:lineRule="auto"/>
              <w:jc w:val="both"/>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楼板处的孔洞采用</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了</w:t>
            </w: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非燃性材料堵塞。</w:t>
            </w:r>
          </w:p>
        </w:tc>
        <w:tc>
          <w:tcPr>
            <w:tcW w:w="684" w:type="dxa"/>
            <w:noWrap w:val="0"/>
            <w:vAlign w:val="center"/>
          </w:tcPr>
          <w:p>
            <w:pPr>
              <w:spacing w:line="240" w:lineRule="auto"/>
              <w:ind w:left="-46" w:leftChars="-22" w:right="-63" w:rightChars="-30"/>
              <w:jc w:val="cente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shd w:val="clear" w:color="auto" w:fill="auto"/>
                <w14:textFill>
                  <w14:solidFill>
                    <w14:schemeClr w14:val="tx1"/>
                  </w14:solidFill>
                </w14:textFill>
              </w:rPr>
            </w:pPr>
          </w:p>
        </w:tc>
        <w:tc>
          <w:tcPr>
            <w:tcW w:w="3300" w:type="dxa"/>
            <w:noWrap w:val="0"/>
            <w:vAlign w:val="center"/>
          </w:tcPr>
          <w:p>
            <w:pPr>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设计有静电接地要求的管道，当每对法兰或其他接头间电阻值超过0.03</w:t>
            </w:r>
            <w:r>
              <w:rPr>
                <w:rFonts w:hint="default" w:ascii="Times New Roman" w:hAnsi="Times New Roman" w:cs="Times New Roman"/>
                <w:color w:val="000000" w:themeColor="text1"/>
                <w:lang w:eastAsia="zh-CN"/>
                <w14:textFill>
                  <w14:solidFill>
                    <w14:schemeClr w14:val="tx1"/>
                  </w14:solidFill>
                </w14:textFill>
              </w:rPr>
              <w:t>Ω</w:t>
            </w:r>
            <w:r>
              <w:rPr>
                <w:rFonts w:hint="default" w:ascii="Times New Roman" w:hAnsi="Times New Roman" w:cs="Times New Roman"/>
                <w:color w:val="000000" w:themeColor="text1"/>
                <w14:textFill>
                  <w14:solidFill>
                    <w14:schemeClr w14:val="tx1"/>
                  </w14:solidFill>
                </w14:textFill>
              </w:rPr>
              <w:t>时，应设导线跨接。</w:t>
            </w:r>
          </w:p>
        </w:tc>
        <w:tc>
          <w:tcPr>
            <w:tcW w:w="2358" w:type="dxa"/>
            <w:noWrap w:val="0"/>
            <w:vAlign w:val="center"/>
          </w:tcPr>
          <w:p>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《工业金属管道工程施工规范》</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GB50235-</w:t>
            </w:r>
          </w:p>
          <w:p>
            <w:pPr>
              <w:jc w:val="center"/>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eastAsia"/>
                <w:color w:val="000000" w:themeColor="text1"/>
                <w14:textFill>
                  <w14:solidFill>
                    <w14:schemeClr w14:val="tx1"/>
                  </w14:solidFill>
                </w14:textFill>
              </w:rPr>
              <w:t>2010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第7.13.1条</w:t>
            </w:r>
          </w:p>
        </w:tc>
        <w:tc>
          <w:tcPr>
            <w:tcW w:w="2405"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爆炸危险区域内法兰已</w:t>
            </w: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进行静电跨接。</w:t>
            </w:r>
          </w:p>
        </w:tc>
        <w:tc>
          <w:tcPr>
            <w:tcW w:w="684" w:type="dxa"/>
            <w:noWrap w:val="0"/>
            <w:vAlign w:val="center"/>
          </w:tcPr>
          <w:p>
            <w:pPr>
              <w:spacing w:line="24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shd w:val="clear" w:color="auto" w:fill="auto"/>
                <w14:textFill>
                  <w14:solidFill>
                    <w14:schemeClr w14:val="tx1"/>
                  </w14:solidFill>
                </w14:textFill>
              </w:rPr>
            </w:pPr>
          </w:p>
        </w:tc>
        <w:tc>
          <w:tcPr>
            <w:tcW w:w="3300"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火灾爆炸危险场所所有的金属用具及门窗零部件、移动式金属车辆、梯子等是否设计了静电接地。</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《化工企业安全卫生设计规范》</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HG20571-</w:t>
            </w:r>
          </w:p>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2014</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第4.</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2.5</w:t>
            </w: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条</w:t>
            </w:r>
          </w:p>
        </w:tc>
        <w:tc>
          <w:tcPr>
            <w:tcW w:w="2405"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所有金属用具设备等均设置了静电接地。</w:t>
            </w:r>
          </w:p>
        </w:tc>
        <w:tc>
          <w:tcPr>
            <w:tcW w:w="684" w:type="dxa"/>
            <w:noWrap w:val="0"/>
            <w:vAlign w:val="center"/>
          </w:tcPr>
          <w:p>
            <w:pPr>
              <w:spacing w:line="36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shd w:val="clear" w:color="auto" w:fill="auto"/>
                <w14:textFill>
                  <w14:solidFill>
                    <w14:schemeClr w14:val="tx1"/>
                  </w14:solidFill>
                </w14:textFill>
              </w:rPr>
            </w:pPr>
          </w:p>
        </w:tc>
        <w:tc>
          <w:tcPr>
            <w:tcW w:w="3300"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重点防火、防爆作业区的入口处，应设计人体导除静电装置。</w:t>
            </w:r>
          </w:p>
        </w:tc>
        <w:tc>
          <w:tcPr>
            <w:tcW w:w="2358"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《化工企业安全卫生设计规范》（HG 20571-</w:t>
            </w:r>
          </w:p>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2014 ）第4.2.10条</w:t>
            </w:r>
          </w:p>
        </w:tc>
        <w:tc>
          <w:tcPr>
            <w:tcW w:w="2405"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入口</w:t>
            </w:r>
            <w:r>
              <w:rPr>
                <w:rFonts w:hint="eastAsia" w:cs="Times New Roman"/>
                <w:color w:val="000000" w:themeColor="text1"/>
                <w:sz w:val="21"/>
                <w:szCs w:val="21"/>
                <w:lang w:val="en-US" w:eastAsia="zh-CN"/>
                <w14:textFill>
                  <w14:solidFill>
                    <w14:schemeClr w14:val="tx1"/>
                  </w14:solidFill>
                </w14:textFill>
              </w:rPr>
              <w:t>处设置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人体静电消除器</w:t>
            </w:r>
            <w:r>
              <w:rPr>
                <w:rFonts w:hint="eastAsia" w:cs="Times New Roman"/>
                <w:color w:val="000000" w:themeColor="text1"/>
                <w:sz w:val="21"/>
                <w:szCs w:val="21"/>
                <w:lang w:val="en-US" w:eastAsia="zh-CN"/>
                <w14:textFill>
                  <w14:solidFill>
                    <w14:schemeClr w14:val="tx1"/>
                  </w14:solidFill>
                </w14:textFill>
              </w:rPr>
              <w:t>。</w:t>
            </w:r>
          </w:p>
        </w:tc>
        <w:tc>
          <w:tcPr>
            <w:tcW w:w="684" w:type="dxa"/>
            <w:noWrap w:val="0"/>
            <w:vAlign w:val="center"/>
          </w:tcPr>
          <w:p>
            <w:pPr>
              <w:spacing w:line="240" w:lineRule="auto"/>
              <w:jc w:val="center"/>
              <w:rPr>
                <w:rFonts w:hint="eastAsia" w:ascii="宋体" w:hAnsi="宋体" w:eastAsia="宋体" w:cs="宋体"/>
                <w:bCs/>
                <w:color w:val="000000" w:themeColor="text1"/>
                <w:kern w:val="2"/>
                <w:sz w:val="21"/>
                <w:szCs w:val="21"/>
                <w:lang w:val="en-US" w:eastAsia="zh-CN" w:bidi="en-US"/>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shd w:val="clear" w:color="auto" w:fill="auto"/>
                <w14:textFill>
                  <w14:solidFill>
                    <w14:schemeClr w14:val="tx1"/>
                  </w14:solidFill>
                </w14:textFill>
              </w:rPr>
            </w:pPr>
          </w:p>
        </w:tc>
        <w:tc>
          <w:tcPr>
            <w:tcW w:w="3300"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化工装置内有发生坠落危险的岗位需要设置扶梯、平台、围栏等附属设施。</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《化工企业安全卫生设计规范》（</w:t>
            </w: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HG20571-</w:t>
            </w:r>
          </w:p>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2014</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）第4.6.1条</w:t>
            </w:r>
          </w:p>
        </w:tc>
        <w:tc>
          <w:tcPr>
            <w:tcW w:w="2405"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设有扶梯、平台、围栏等附属设施。</w:t>
            </w:r>
          </w:p>
        </w:tc>
        <w:tc>
          <w:tcPr>
            <w:tcW w:w="684" w:type="dxa"/>
            <w:noWrap w:val="0"/>
            <w:vAlign w:val="center"/>
          </w:tcPr>
          <w:p>
            <w:pPr>
              <w:spacing w:line="360" w:lineRule="auto"/>
              <w:jc w:val="center"/>
              <w:rPr>
                <w:rFonts w:hint="eastAsia" w:ascii="宋体" w:hAnsi="宋体" w:eastAsia="宋体" w:cs="宋体"/>
                <w:color w:val="000000" w:themeColor="text1"/>
                <w:kern w:val="2"/>
                <w:sz w:val="21"/>
                <w:szCs w:val="21"/>
                <w:lang w:val="en-US" w:eastAsia="zh-CN" w:bidi="en-US"/>
                <w14:textFill>
                  <w14:solidFill>
                    <w14:schemeClr w14:val="tx1"/>
                  </w14:solidFill>
                </w14:textFill>
              </w:rPr>
            </w:pPr>
            <w:r>
              <w:rPr>
                <w:rFonts w:hint="eastAsia" w:ascii="宋体" w:hAnsi="宋体" w:cs="宋体"/>
                <w:color w:val="000000" w:themeColor="text1"/>
                <w:szCs w:val="21"/>
                <w:lang w:bidi="en-US"/>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shd w:val="clear" w:color="auto" w:fill="auto"/>
                <w14:textFill>
                  <w14:solidFill>
                    <w14:schemeClr w14:val="tx1"/>
                  </w14:solidFill>
                </w14:textFill>
              </w:rPr>
            </w:pPr>
          </w:p>
        </w:tc>
        <w:tc>
          <w:tcPr>
            <w:tcW w:w="3300"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高速旋转或往复运动的机械零部件位置应设计可靠的防护设施、挡板或安全围栏。</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《化工企业安全卫生设计规范》（</w:t>
            </w: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HG20571-</w:t>
            </w:r>
          </w:p>
          <w:p>
            <w:pPr>
              <w:snapToGrid/>
              <w:spacing w:line="240" w:lineRule="auto"/>
              <w:ind w:left="0" w:leftChars="0" w:firstLine="0" w:firstLineChars="0"/>
              <w:jc w:val="center"/>
              <w:rPr>
                <w:rFonts w:hint="default" w:ascii="宋体" w:hAnsi="宋体" w:eastAsia="宋体" w:cs="宋体"/>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2014</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）第4.6.</w:t>
            </w:r>
            <w:r>
              <w:rPr>
                <w:rFonts w:hint="eastAsia" w:cs="Times New Roman"/>
                <w:color w:val="000000" w:themeColor="text1"/>
                <w:spacing w:val="0"/>
                <w:kern w:val="2"/>
                <w:sz w:val="21"/>
                <w:szCs w:val="21"/>
                <w:lang w:val="en-US" w:eastAsia="zh-CN"/>
                <w14:textFill>
                  <w14:solidFill>
                    <w14:schemeClr w14:val="tx1"/>
                  </w14:solidFill>
                </w14:textFill>
              </w:rPr>
              <w:t>2</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条</w:t>
            </w:r>
          </w:p>
        </w:tc>
        <w:tc>
          <w:tcPr>
            <w:tcW w:w="2405" w:type="dxa"/>
            <w:noWrap w:val="0"/>
            <w:vAlign w:val="center"/>
          </w:tcPr>
          <w:p>
            <w:pPr>
              <w:spacing w:line="240" w:lineRule="auto"/>
              <w:ind w:left="0" w:leftChars="0" w:firstLine="0" w:firstLineChars="0"/>
              <w:jc w:val="left"/>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提升机设有防护罩等防护设施。</w:t>
            </w:r>
          </w:p>
        </w:tc>
        <w:tc>
          <w:tcPr>
            <w:tcW w:w="684" w:type="dxa"/>
            <w:noWrap w:val="0"/>
            <w:vAlign w:val="center"/>
          </w:tcPr>
          <w:p>
            <w:pPr>
              <w:spacing w:line="360" w:lineRule="auto"/>
              <w:jc w:val="center"/>
              <w:rPr>
                <w:rFonts w:hint="eastAsia" w:ascii="宋体" w:hAnsi="宋体" w:eastAsia="宋体" w:cs="宋体"/>
                <w:color w:val="000000" w:themeColor="text1"/>
                <w:szCs w:val="21"/>
                <w:lang w:eastAsia="zh-CN" w:bidi="en-US"/>
                <w14:textFill>
                  <w14:solidFill>
                    <w14:schemeClr w14:val="tx1"/>
                  </w14:solidFill>
                </w14:textFill>
              </w:rPr>
            </w:pPr>
            <w:r>
              <w:rPr>
                <w:rFonts w:hint="eastAsia" w:ascii="宋体" w:hAnsi="宋体" w:cs="宋体"/>
                <w:color w:val="000000" w:themeColor="text1"/>
                <w:szCs w:val="21"/>
                <w:lang w:eastAsia="zh-CN" w:bidi="en-US"/>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pacing w:line="240" w:lineRule="auto"/>
              <w:ind w:left="0" w:leftChars="0" w:firstLine="0" w:firstLineChars="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具有化学灼伤危险的生产装置，其设备布置保证作业场所有足够空间，并保证作业场所畅通，危险作业点装设防护措施</w:t>
            </w:r>
            <w:r>
              <w:rPr>
                <w:rFonts w:hint="eastAsia" w:cs="Times New Roman"/>
                <w:sz w:val="21"/>
                <w:szCs w:val="21"/>
                <w:lang w:val="en-US" w:eastAsia="zh-CN"/>
              </w:rPr>
              <w:t>。</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en-US" w:eastAsia="zh-CN"/>
              </w:rPr>
              <w:t>《化工企业安全卫生设计规范》（</w:t>
            </w:r>
            <w:r>
              <w:rPr>
                <w:rFonts w:hint="default" w:ascii="Times New Roman" w:hAnsi="Times New Roman" w:eastAsia="宋体" w:cs="Times New Roman"/>
                <w:color w:val="auto"/>
                <w:spacing w:val="0"/>
                <w:kern w:val="2"/>
                <w:sz w:val="21"/>
                <w:szCs w:val="21"/>
                <w:lang w:val="en-US" w:eastAsia="zh-CN"/>
              </w:rPr>
              <w:t>HG20571-</w:t>
            </w:r>
          </w:p>
          <w:p>
            <w:pPr>
              <w:snapToGrid/>
              <w:spacing w:line="240" w:lineRule="auto"/>
              <w:ind w:left="0" w:leftChars="0" w:firstLine="0" w:firstLineChars="0"/>
              <w:jc w:val="center"/>
              <w:rPr>
                <w:rFonts w:hint="default" w:ascii="Times New Roman" w:hAnsi="Times New Roman" w:eastAsia="宋体" w:cs="Times New Roman"/>
                <w:color w:val="auto"/>
                <w:spacing w:val="0"/>
                <w:kern w:val="2"/>
                <w:sz w:val="21"/>
                <w:szCs w:val="21"/>
                <w:lang w:val="en-US" w:eastAsia="zh-CN"/>
              </w:rPr>
            </w:pPr>
            <w:r>
              <w:rPr>
                <w:rFonts w:hint="default" w:ascii="Times New Roman" w:hAnsi="Times New Roman" w:eastAsia="宋体" w:cs="Times New Roman"/>
                <w:color w:val="auto"/>
                <w:spacing w:val="0"/>
                <w:kern w:val="2"/>
                <w:sz w:val="21"/>
                <w:szCs w:val="21"/>
                <w:lang w:val="en-US" w:eastAsia="zh-CN"/>
              </w:rPr>
              <w:t>2014</w:t>
            </w:r>
            <w:r>
              <w:rPr>
                <w:rFonts w:hint="eastAsia" w:ascii="Times New Roman" w:hAnsi="Times New Roman" w:eastAsia="宋体" w:cs="Times New Roman"/>
                <w:color w:val="auto"/>
                <w:spacing w:val="0"/>
                <w:kern w:val="2"/>
                <w:sz w:val="21"/>
                <w:szCs w:val="21"/>
                <w:lang w:val="en-US" w:eastAsia="zh-CN"/>
              </w:rPr>
              <w:t>）第5.6.3条</w:t>
            </w:r>
          </w:p>
        </w:tc>
        <w:tc>
          <w:tcPr>
            <w:tcW w:w="2405" w:type="dxa"/>
            <w:noWrap w:val="0"/>
            <w:vAlign w:val="center"/>
          </w:tcPr>
          <w:p>
            <w:pPr>
              <w:spacing w:line="240" w:lineRule="auto"/>
              <w:ind w:left="0" w:leftChars="0" w:firstLine="0" w:firstLineChars="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设备布置能够保证作业场所有足够空间，并保证作业场所畅通。</w:t>
            </w:r>
          </w:p>
        </w:tc>
        <w:tc>
          <w:tcPr>
            <w:tcW w:w="684" w:type="dxa"/>
            <w:noWrap w:val="0"/>
            <w:vAlign w:val="center"/>
          </w:tcPr>
          <w:p>
            <w:pPr>
              <w:spacing w:line="360" w:lineRule="auto"/>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pacing w:line="240" w:lineRule="auto"/>
              <w:ind w:left="0" w:leftChars="0" w:firstLine="0" w:firstLineChars="0"/>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具有化学灼伤危险的作业区，应设计必要的洗眼器、淋洗器等安全防护措施，并在装置区设置救护箱。工作人员配备必要的个人防护用品。</w:t>
            </w:r>
          </w:p>
        </w:tc>
        <w:tc>
          <w:tcPr>
            <w:tcW w:w="2358"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en-US" w:eastAsia="zh-CN"/>
              </w:rPr>
              <w:t>《化工企业安全卫生设计规范》（</w:t>
            </w:r>
            <w:r>
              <w:rPr>
                <w:rFonts w:hint="default" w:ascii="Times New Roman" w:hAnsi="Times New Roman" w:eastAsia="宋体" w:cs="Times New Roman"/>
                <w:color w:val="auto"/>
                <w:spacing w:val="0"/>
                <w:kern w:val="2"/>
                <w:sz w:val="21"/>
                <w:szCs w:val="21"/>
                <w:lang w:val="en-US" w:eastAsia="zh-CN"/>
              </w:rPr>
              <w:t>HG20571-</w:t>
            </w:r>
          </w:p>
          <w:p>
            <w:pPr>
              <w:snapToGrid/>
              <w:spacing w:line="240" w:lineRule="auto"/>
              <w:ind w:left="0" w:leftChars="0" w:firstLine="0" w:firstLineChars="0"/>
              <w:jc w:val="center"/>
              <w:rPr>
                <w:rFonts w:hint="default" w:ascii="Times New Roman" w:hAnsi="Times New Roman" w:eastAsia="宋体" w:cs="Times New Roman"/>
                <w:color w:val="auto"/>
                <w:spacing w:val="0"/>
                <w:kern w:val="2"/>
                <w:sz w:val="21"/>
                <w:szCs w:val="21"/>
                <w:lang w:val="en-US" w:eastAsia="zh-CN"/>
              </w:rPr>
            </w:pPr>
            <w:r>
              <w:rPr>
                <w:rFonts w:hint="default" w:ascii="Times New Roman" w:hAnsi="Times New Roman" w:eastAsia="宋体" w:cs="Times New Roman"/>
                <w:color w:val="auto"/>
                <w:spacing w:val="0"/>
                <w:kern w:val="2"/>
                <w:sz w:val="21"/>
                <w:szCs w:val="21"/>
                <w:lang w:val="en-US" w:eastAsia="zh-CN"/>
              </w:rPr>
              <w:t>2014</w:t>
            </w:r>
            <w:r>
              <w:rPr>
                <w:rFonts w:hint="eastAsia" w:ascii="Times New Roman" w:hAnsi="Times New Roman" w:eastAsia="宋体" w:cs="Times New Roman"/>
                <w:color w:val="auto"/>
                <w:spacing w:val="0"/>
                <w:kern w:val="2"/>
                <w:sz w:val="21"/>
                <w:szCs w:val="21"/>
                <w:lang w:val="en-US" w:eastAsia="zh-CN"/>
              </w:rPr>
              <w:t>）第5.6.5 条</w:t>
            </w:r>
          </w:p>
        </w:tc>
        <w:tc>
          <w:tcPr>
            <w:tcW w:w="2405" w:type="dxa"/>
            <w:noWrap w:val="0"/>
            <w:vAlign w:val="center"/>
          </w:tcPr>
          <w:p>
            <w:pPr>
              <w:spacing w:line="240" w:lineRule="auto"/>
              <w:ind w:left="0" w:leftChars="0" w:firstLine="0" w:firstLineChars="0"/>
              <w:jc w:val="left"/>
              <w:rPr>
                <w:rFonts w:hint="default" w:ascii="Times New Roman" w:hAnsi="Times New Roman" w:eastAsia="宋体" w:cs="Times New Roman"/>
                <w:sz w:val="21"/>
                <w:szCs w:val="21"/>
                <w:lang w:val="zh-CN" w:eastAsia="zh-CN"/>
              </w:rPr>
            </w:pPr>
            <w:r>
              <w:rPr>
                <w:rFonts w:hint="eastAsia" w:ascii="Times New Roman" w:hAnsi="Times New Roman" w:eastAsia="宋体" w:cs="Times New Roman"/>
                <w:sz w:val="21"/>
                <w:szCs w:val="21"/>
                <w:lang w:val="en-US" w:eastAsia="zh-CN"/>
              </w:rPr>
              <w:t>车间内设置有洗眼器，且配备救护箱和个体防护用品。</w:t>
            </w:r>
          </w:p>
        </w:tc>
        <w:tc>
          <w:tcPr>
            <w:tcW w:w="684" w:type="dxa"/>
            <w:noWrap w:val="0"/>
            <w:vAlign w:val="center"/>
          </w:tcPr>
          <w:p>
            <w:pPr>
              <w:spacing w:line="360" w:lineRule="auto"/>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keepNext w:val="0"/>
              <w:keepLines w:val="0"/>
              <w:widowControl/>
              <w:numPr>
                <w:ilvl w:val="0"/>
                <w:numId w:val="0"/>
              </w:numPr>
              <w:suppressLineNumbers w:val="0"/>
              <w:overflowPunct w:val="0"/>
              <w:autoSpaceDE w:val="0"/>
              <w:autoSpaceDN w:val="0"/>
              <w:adjustRightInd/>
              <w:snapToGrid/>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在生产或使用可燃气体及有毒气体的生产设施及储运设施的区域内，泄漏气体中可燃气体浓度可能达到报警设定值时，应设置</w:t>
            </w:r>
            <w:r>
              <w:rPr>
                <w:rFonts w:hint="eastAsia" w:ascii="Times New Roman" w:hAnsi="Times New Roman" w:eastAsia="宋体" w:cs="Times New Roman"/>
                <w:color w:val="000000"/>
                <w:kern w:val="2"/>
                <w:sz w:val="21"/>
                <w:szCs w:val="21"/>
                <w:lang w:val="en-US" w:eastAsia="zh-CN" w:bidi="ar-SA"/>
              </w:rPr>
              <w:t>可燃</w:t>
            </w:r>
            <w:r>
              <w:rPr>
                <w:rFonts w:hint="default" w:ascii="Times New Roman" w:hAnsi="Times New Roman" w:eastAsia="宋体" w:cs="Times New Roman"/>
                <w:color w:val="000000"/>
                <w:kern w:val="2"/>
                <w:sz w:val="21"/>
                <w:szCs w:val="21"/>
                <w:lang w:val="en-US" w:eastAsia="zh-CN" w:bidi="ar-SA"/>
              </w:rPr>
              <w:t>气体探测器</w:t>
            </w:r>
            <w:r>
              <w:rPr>
                <w:rFonts w:hint="eastAsia" w:cs="Times New Roman"/>
                <w:color w:val="000000"/>
                <w:kern w:val="2"/>
                <w:sz w:val="21"/>
                <w:szCs w:val="21"/>
                <w:lang w:val="en-US" w:eastAsia="zh-CN" w:bidi="ar-SA"/>
              </w:rPr>
              <w:t>。</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《石油化工可燃气体和有毒气体检测报警设计标准》</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GB/T50493-</w:t>
            </w:r>
          </w:p>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2019</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第</w:t>
            </w:r>
            <w:r>
              <w:rPr>
                <w:rFonts w:hint="eastAsia" w:cs="Times New Roman"/>
                <w:color w:val="000000"/>
                <w:sz w:val="21"/>
                <w:szCs w:val="21"/>
                <w:lang w:val="en-US" w:eastAsia="zh-CN"/>
              </w:rPr>
              <w:t>3.0.1</w:t>
            </w:r>
            <w:r>
              <w:rPr>
                <w:rFonts w:hint="default" w:ascii="Times New Roman" w:hAnsi="Times New Roman" w:eastAsia="宋体" w:cs="Times New Roman"/>
                <w:color w:val="000000"/>
                <w:sz w:val="21"/>
                <w:szCs w:val="21"/>
                <w:lang w:val="en-US" w:eastAsia="zh-CN"/>
              </w:rPr>
              <w:t>条</w:t>
            </w:r>
            <w:r>
              <w:rPr>
                <w:rFonts w:hint="eastAsia" w:ascii="Times New Roman" w:hAnsi="Times New Roman" w:eastAsia="宋体" w:cs="Times New Roman"/>
                <w:color w:val="000000"/>
                <w:sz w:val="21"/>
                <w:szCs w:val="21"/>
                <w:lang w:val="en-US" w:eastAsia="zh-CN"/>
              </w:rPr>
              <w:t>、第4.2.2条</w:t>
            </w:r>
          </w:p>
        </w:tc>
        <w:tc>
          <w:tcPr>
            <w:tcW w:w="2405" w:type="dxa"/>
            <w:noWrap w:val="0"/>
            <w:vAlign w:val="center"/>
          </w:tcPr>
          <w:p>
            <w:pPr>
              <w:spacing w:line="240" w:lineRule="auto"/>
              <w:jc w:val="both"/>
              <w:rPr>
                <w:rFonts w:hint="default" w:cs="Times New Roman"/>
                <w:b w:val="0"/>
                <w:bCs w:val="0"/>
                <w:color w:val="000000"/>
                <w:sz w:val="21"/>
                <w:szCs w:val="21"/>
                <w:lang w:val="en-US" w:eastAsia="zh-CN"/>
              </w:rPr>
            </w:pPr>
            <w:r>
              <w:rPr>
                <w:rFonts w:hint="eastAsia" w:cs="Times New Roman"/>
                <w:b w:val="0"/>
                <w:bCs w:val="0"/>
                <w:color w:val="000000"/>
                <w:sz w:val="21"/>
                <w:szCs w:val="21"/>
                <w:lang w:val="en-US" w:eastAsia="zh-CN"/>
              </w:rPr>
              <w:t>生产车间精制工段可燃气体报警器数量不足。</w:t>
            </w:r>
          </w:p>
        </w:tc>
        <w:tc>
          <w:tcPr>
            <w:tcW w:w="684" w:type="dxa"/>
            <w:noWrap w:val="0"/>
            <w:vAlign w:val="center"/>
          </w:tcPr>
          <w:p>
            <w:pPr>
              <w:pStyle w:val="35"/>
              <w:keepNext w:val="0"/>
              <w:keepLines w:val="0"/>
              <w:widowControl w:val="0"/>
              <w:suppressLineNumbers w:val="0"/>
              <w:autoSpaceDE w:val="0"/>
              <w:autoSpaceDN w:val="0"/>
              <w:adjustRightInd w:val="0"/>
              <w:spacing w:before="184" w:beforeAutospacing="0" w:after="0" w:afterAutospacing="0" w:line="240" w:lineRule="auto"/>
              <w:ind w:left="0" w:leftChars="0" w:right="0" w:rightChars="0"/>
              <w:jc w:val="center"/>
              <w:rPr>
                <w:rFonts w:hint="default" w:ascii="Times New Roman" w:hAnsi="Times New Roman" w:eastAsia="宋体" w:cs="Times New Roman"/>
                <w:kern w:val="0"/>
                <w:sz w:val="21"/>
                <w:szCs w:val="21"/>
                <w:lang w:val="en-US" w:eastAsia="zh-CN" w:bidi="ar"/>
              </w:rPr>
            </w:pPr>
            <w:r>
              <w:rPr>
                <w:rFonts w:hint="eastAsia" w:ascii="Times New Roman" w:hAnsi="Times New Roman" w:cs="Times New Roman"/>
                <w:sz w:val="21"/>
                <w:szCs w:val="21"/>
                <w:lang w:val="en-US" w:eastAsia="zh-CN" w:bidi="ar"/>
              </w:rPr>
              <w:t>不</w:t>
            </w:r>
            <w:r>
              <w:rPr>
                <w:rFonts w:hint="eastAsia" w:ascii="Times New Roman" w:hAnsi="Times New Roman" w:cs="Times New Roman"/>
                <w:sz w:val="21"/>
                <w:szCs w:val="21"/>
                <w:lang w:eastAsia="zh-CN" w:bidi="ar"/>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sz w:val="21"/>
                <w:szCs w:val="21"/>
              </w:rPr>
            </w:pPr>
          </w:p>
        </w:tc>
        <w:tc>
          <w:tcPr>
            <w:tcW w:w="3300"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rPr>
              <w:t>可燃气体检测报警信号应送至有人值守的现场控制室、中心控制室等进行显示报警。</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《石油化工可燃气体和有毒气体检测报警设计标准》</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GB/T50493-</w:t>
            </w:r>
          </w:p>
          <w:p>
            <w:pPr>
              <w:spacing w:line="240" w:lineRule="auto"/>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color w:val="000000"/>
                <w:sz w:val="21"/>
                <w:szCs w:val="21"/>
                <w:lang w:val="en-US" w:eastAsia="zh-CN"/>
              </w:rPr>
              <w:t>2019</w:t>
            </w:r>
            <w:r>
              <w:rPr>
                <w:rFonts w:hint="eastAsia" w:cs="Times New Roman"/>
                <w:color w:val="000000"/>
                <w:sz w:val="21"/>
                <w:szCs w:val="21"/>
                <w:lang w:val="en-US" w:eastAsia="zh-CN"/>
              </w:rPr>
              <w:t>）</w:t>
            </w:r>
            <w:r>
              <w:rPr>
                <w:rFonts w:hint="default" w:ascii="Times New Roman" w:hAnsi="Times New Roman" w:eastAsia="宋体" w:cs="Times New Roman"/>
                <w:b w:val="0"/>
                <w:bCs w:val="0"/>
                <w:color w:val="000000"/>
                <w:sz w:val="21"/>
                <w:szCs w:val="21"/>
              </w:rPr>
              <w:t>第3.0.3条</w:t>
            </w:r>
          </w:p>
        </w:tc>
        <w:tc>
          <w:tcPr>
            <w:tcW w:w="2405" w:type="dxa"/>
            <w:noWrap w:val="0"/>
            <w:vAlign w:val="center"/>
          </w:tcPr>
          <w:p>
            <w:pPr>
              <w:spacing w:line="240" w:lineRule="auto"/>
              <w:jc w:val="both"/>
              <w:rPr>
                <w:rFonts w:hint="default" w:cs="Times New Roman"/>
                <w:b w:val="0"/>
                <w:bCs w:val="0"/>
                <w:color w:val="000000"/>
                <w:sz w:val="21"/>
                <w:szCs w:val="21"/>
                <w:lang w:eastAsia="zh-CN"/>
              </w:rPr>
            </w:pPr>
            <w:r>
              <w:rPr>
                <w:rFonts w:hint="default" w:cs="Times New Roman"/>
                <w:b w:val="0"/>
                <w:bCs w:val="0"/>
                <w:color w:val="000000"/>
                <w:sz w:val="21"/>
                <w:szCs w:val="21"/>
                <w:lang w:eastAsia="zh-CN"/>
              </w:rPr>
              <w:t>可燃气体检测报警信号传输至</w:t>
            </w:r>
            <w:r>
              <w:rPr>
                <w:rFonts w:hint="eastAsia" w:cs="Times New Roman"/>
                <w:b w:val="0"/>
                <w:bCs w:val="0"/>
                <w:color w:val="000000"/>
                <w:sz w:val="21"/>
                <w:szCs w:val="21"/>
                <w:lang w:val="en-US" w:eastAsia="zh-CN"/>
              </w:rPr>
              <w:t>办公</w:t>
            </w:r>
            <w:r>
              <w:rPr>
                <w:rFonts w:hint="eastAsia" w:cs="Times New Roman"/>
                <w:b w:val="0"/>
                <w:bCs w:val="0"/>
                <w:color w:val="000000"/>
                <w:sz w:val="21"/>
                <w:szCs w:val="21"/>
                <w:lang w:eastAsia="zh-CN"/>
              </w:rPr>
              <w:t>室</w:t>
            </w:r>
            <w:r>
              <w:rPr>
                <w:rFonts w:hint="default" w:cs="Times New Roman"/>
                <w:b w:val="0"/>
                <w:bCs w:val="0"/>
                <w:color w:val="000000"/>
                <w:sz w:val="21"/>
                <w:szCs w:val="21"/>
                <w:lang w:eastAsia="zh-CN"/>
              </w:rPr>
              <w:t>内，有人值守。</w:t>
            </w:r>
          </w:p>
        </w:tc>
        <w:tc>
          <w:tcPr>
            <w:tcW w:w="684" w:type="dxa"/>
            <w:noWrap w:val="0"/>
            <w:vAlign w:val="center"/>
          </w:tcPr>
          <w:p>
            <w:pPr>
              <w:spacing w:line="24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sz w:val="21"/>
                <w:szCs w:val="21"/>
              </w:rPr>
            </w:pPr>
          </w:p>
        </w:tc>
        <w:tc>
          <w:tcPr>
            <w:tcW w:w="3300"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rPr>
              <w:t>现场区域警报器宜根据装置占地面积、设备及建构筑物的布置、释放源的理化性质和现场空气流动特点进行设置，现场区域应有声、光报警功能。</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《石油化工可燃气体和有毒气体检测报警设计标准》</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GB/T50493-</w:t>
            </w:r>
          </w:p>
          <w:p>
            <w:pPr>
              <w:spacing w:line="240" w:lineRule="auto"/>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color w:val="000000"/>
                <w:sz w:val="21"/>
                <w:szCs w:val="21"/>
                <w:lang w:val="en-US" w:eastAsia="zh-CN"/>
              </w:rPr>
              <w:t>2019</w:t>
            </w:r>
            <w:r>
              <w:rPr>
                <w:rFonts w:hint="eastAsia" w:cs="Times New Roman"/>
                <w:color w:val="000000"/>
                <w:sz w:val="21"/>
                <w:szCs w:val="21"/>
                <w:lang w:val="en-US" w:eastAsia="zh-CN"/>
              </w:rPr>
              <w:t>）</w:t>
            </w:r>
            <w:r>
              <w:rPr>
                <w:rFonts w:hint="default" w:ascii="Times New Roman" w:hAnsi="Times New Roman" w:eastAsia="宋体" w:cs="Times New Roman"/>
                <w:b w:val="0"/>
                <w:bCs w:val="0"/>
                <w:color w:val="000000"/>
                <w:sz w:val="21"/>
                <w:szCs w:val="21"/>
              </w:rPr>
              <w:t>第3.0.4条</w:t>
            </w:r>
          </w:p>
        </w:tc>
        <w:tc>
          <w:tcPr>
            <w:tcW w:w="2405" w:type="dxa"/>
            <w:noWrap w:val="0"/>
            <w:vAlign w:val="center"/>
          </w:tcPr>
          <w:p>
            <w:pPr>
              <w:spacing w:line="240" w:lineRule="auto"/>
              <w:jc w:val="both"/>
              <w:rPr>
                <w:rFonts w:hint="default" w:ascii="Times New Roman" w:hAnsi="Times New Roman" w:eastAsia="宋体" w:cs="Times New Roman"/>
                <w:b w:val="0"/>
                <w:bCs w:val="0"/>
                <w:color w:val="000000"/>
                <w:sz w:val="21"/>
                <w:szCs w:val="21"/>
                <w:lang w:eastAsia="zh-CN"/>
              </w:rPr>
            </w:pPr>
            <w:r>
              <w:rPr>
                <w:rFonts w:hint="eastAsia" w:cs="Times New Roman"/>
                <w:b w:val="0"/>
                <w:bCs w:val="0"/>
                <w:color w:val="000000"/>
                <w:sz w:val="21"/>
                <w:szCs w:val="21"/>
                <w:lang w:eastAsia="zh-CN"/>
              </w:rPr>
              <w:t>现场</w:t>
            </w:r>
            <w:r>
              <w:rPr>
                <w:rFonts w:hint="default" w:ascii="Times New Roman" w:hAnsi="Times New Roman" w:eastAsia="宋体" w:cs="Times New Roman"/>
                <w:b w:val="0"/>
                <w:bCs w:val="0"/>
                <w:color w:val="000000"/>
                <w:sz w:val="21"/>
                <w:szCs w:val="21"/>
                <w:lang w:eastAsia="zh-CN"/>
              </w:rPr>
              <w:t>可燃气体报警器有声光报警功能。</w:t>
            </w:r>
          </w:p>
        </w:tc>
        <w:tc>
          <w:tcPr>
            <w:tcW w:w="684" w:type="dxa"/>
            <w:noWrap w:val="0"/>
            <w:vAlign w:val="center"/>
          </w:tcPr>
          <w:p>
            <w:pPr>
              <w:spacing w:line="24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sz w:val="21"/>
                <w:szCs w:val="21"/>
              </w:rPr>
            </w:pPr>
          </w:p>
        </w:tc>
        <w:tc>
          <w:tcPr>
            <w:tcW w:w="3300" w:type="dxa"/>
            <w:noWrap w:val="0"/>
            <w:vAlign w:val="center"/>
          </w:tcPr>
          <w:p>
            <w:pPr>
              <w:pStyle w:val="92"/>
              <w:keepNext w:val="0"/>
              <w:keepLines w:val="0"/>
              <w:widowControl/>
              <w:suppressLineNumbers w:val="0"/>
              <w:tabs>
                <w:tab w:val="clear" w:pos="1134"/>
              </w:tabs>
              <w:spacing w:before="0" w:beforeAutospacing="0" w:after="0" w:afterAutospacing="0" w:line="240" w:lineRule="auto"/>
              <w:ind w:left="0" w:leftChars="0" w:right="0" w:rightChars="0"/>
              <w:jc w:val="left"/>
              <w:rPr>
                <w:rFonts w:hint="default" w:cs="Times New Roman"/>
                <w:color w:val="000000"/>
                <w:kern w:val="2"/>
                <w:sz w:val="21"/>
                <w:szCs w:val="21"/>
                <w:lang w:val="en-US" w:eastAsia="zh-CN" w:bidi="ar-SA"/>
              </w:rPr>
            </w:pPr>
            <w:r>
              <w:rPr>
                <w:rFonts w:hint="eastAsia" w:cs="Times New Roman"/>
                <w:color w:val="000000"/>
                <w:kern w:val="2"/>
                <w:sz w:val="21"/>
                <w:szCs w:val="21"/>
                <w:lang w:val="en-US" w:eastAsia="zh-CN" w:bidi="ar-SA"/>
              </w:rPr>
              <w:t>现场报警器宜采用固定式。</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《石油化工可燃气体和有毒气体检测报警设计标准》</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GB/T50493-</w:t>
            </w:r>
          </w:p>
          <w:p>
            <w:pPr>
              <w:keepNext w:val="0"/>
              <w:keepLines w:val="0"/>
              <w:suppressLineNumbers w:val="0"/>
              <w:spacing w:before="0" w:beforeAutospacing="0" w:after="0" w:afterAutospacing="0" w:line="320" w:lineRule="exact"/>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color w:val="000000"/>
                <w:sz w:val="21"/>
                <w:szCs w:val="21"/>
                <w:lang w:val="en-US" w:eastAsia="zh-CN"/>
              </w:rPr>
              <w:t>2019</w:t>
            </w:r>
            <w:r>
              <w:rPr>
                <w:rFonts w:hint="eastAsia" w:cs="Times New Roman"/>
                <w:color w:val="000000"/>
                <w:sz w:val="21"/>
                <w:szCs w:val="21"/>
                <w:lang w:val="en-US" w:eastAsia="zh-CN"/>
              </w:rPr>
              <w:t>）</w:t>
            </w:r>
            <w:r>
              <w:rPr>
                <w:rFonts w:hint="eastAsia"/>
                <w:sz w:val="21"/>
                <w:szCs w:val="21"/>
              </w:rPr>
              <w:t>第3.0.6条</w:t>
            </w:r>
          </w:p>
        </w:tc>
        <w:tc>
          <w:tcPr>
            <w:tcW w:w="2405" w:type="dxa"/>
            <w:noWrap w:val="0"/>
            <w:vAlign w:val="center"/>
          </w:tcPr>
          <w:p>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kern w:val="2"/>
                <w:sz w:val="21"/>
                <w:szCs w:val="21"/>
                <w:lang w:val="en-US" w:eastAsia="zh-CN" w:bidi="ar-SA"/>
              </w:rPr>
            </w:pPr>
            <w:r>
              <w:rPr>
                <w:rFonts w:hint="eastAsia"/>
                <w:sz w:val="21"/>
                <w:szCs w:val="21"/>
              </w:rPr>
              <w:t>现场可燃气体报警器均为固定式</w:t>
            </w:r>
            <w:r>
              <w:rPr>
                <w:rFonts w:hint="eastAsia"/>
                <w:sz w:val="21"/>
                <w:szCs w:val="21"/>
                <w:lang w:eastAsia="zh-CN"/>
              </w:rPr>
              <w:t>。</w:t>
            </w:r>
          </w:p>
        </w:tc>
        <w:tc>
          <w:tcPr>
            <w:tcW w:w="684" w:type="dxa"/>
            <w:noWrap w:val="0"/>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1"/>
                <w:szCs w:val="21"/>
                <w:lang w:val="en-US" w:eastAsia="zh-CN" w:bidi="ar-SA"/>
              </w:rPr>
            </w:pPr>
            <w:r>
              <w:rPr>
                <w:rFonts w:hint="eastAsia"/>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sz w:val="21"/>
                <w:szCs w:val="21"/>
              </w:rPr>
            </w:pPr>
          </w:p>
        </w:tc>
        <w:tc>
          <w:tcPr>
            <w:tcW w:w="3300" w:type="dxa"/>
            <w:noWrap w:val="0"/>
            <w:vAlign w:val="center"/>
          </w:tcPr>
          <w:p>
            <w:pPr>
              <w:pStyle w:val="92"/>
              <w:keepNext w:val="0"/>
              <w:keepLines w:val="0"/>
              <w:widowControl/>
              <w:suppressLineNumbers w:val="0"/>
              <w:tabs>
                <w:tab w:val="clear" w:pos="1134"/>
              </w:tabs>
              <w:spacing w:before="0" w:beforeAutospacing="0" w:after="0" w:afterAutospacing="0" w:line="240" w:lineRule="auto"/>
              <w:ind w:left="0" w:leftChars="0" w:right="0" w:rightChars="0"/>
              <w:jc w:val="left"/>
              <w:rPr>
                <w:rFonts w:hint="eastAsia" w:cs="Times New Roman"/>
                <w:color w:val="000000"/>
                <w:kern w:val="2"/>
                <w:sz w:val="21"/>
                <w:szCs w:val="21"/>
                <w:lang w:val="en-US" w:eastAsia="zh-CN" w:bidi="ar-SA"/>
              </w:rPr>
            </w:pPr>
            <w:r>
              <w:rPr>
                <w:rFonts w:hint="eastAsia" w:cs="Times New Roman"/>
                <w:color w:val="000000"/>
                <w:kern w:val="2"/>
                <w:sz w:val="21"/>
                <w:szCs w:val="21"/>
                <w:lang w:val="en-US" w:eastAsia="zh-CN" w:bidi="ar-SA"/>
              </w:rPr>
              <w:t>可燃气体和有毒气体检测报警系统应独立与其他系统单独设置。</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《石油化工可燃气体和有毒气体检测报警设计标准》</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GB/T50493-</w:t>
            </w:r>
          </w:p>
          <w:p>
            <w:pPr>
              <w:keepNext w:val="0"/>
              <w:keepLines w:val="0"/>
              <w:suppressLineNumbers w:val="0"/>
              <w:spacing w:before="0" w:beforeAutospacing="0" w:after="0" w:afterAutospacing="0" w:line="320" w:lineRule="exact"/>
              <w:ind w:left="0" w:right="0"/>
              <w:jc w:val="center"/>
              <w:rPr>
                <w:rFonts w:hint="eastAsia"/>
                <w:kern w:val="2"/>
                <w:sz w:val="21"/>
                <w:szCs w:val="21"/>
                <w:lang w:val="en-US" w:eastAsia="zh-CN" w:bidi="ar-SA"/>
              </w:rPr>
            </w:pPr>
            <w:r>
              <w:rPr>
                <w:rFonts w:hint="default" w:ascii="Times New Roman" w:hAnsi="Times New Roman" w:eastAsia="宋体" w:cs="Times New Roman"/>
                <w:color w:val="000000"/>
                <w:sz w:val="21"/>
                <w:szCs w:val="21"/>
                <w:lang w:val="en-US" w:eastAsia="zh-CN"/>
              </w:rPr>
              <w:t>2019</w:t>
            </w:r>
            <w:r>
              <w:rPr>
                <w:rFonts w:hint="eastAsia" w:cs="Times New Roman"/>
                <w:color w:val="000000"/>
                <w:sz w:val="21"/>
                <w:szCs w:val="21"/>
                <w:lang w:val="en-US" w:eastAsia="zh-CN"/>
              </w:rPr>
              <w:t>）</w:t>
            </w:r>
            <w:r>
              <w:rPr>
                <w:rFonts w:hint="eastAsia"/>
                <w:sz w:val="21"/>
                <w:szCs w:val="21"/>
              </w:rPr>
              <w:t>第3.0.</w:t>
            </w:r>
            <w:r>
              <w:rPr>
                <w:rFonts w:hint="eastAsia"/>
                <w:sz w:val="21"/>
                <w:szCs w:val="21"/>
                <w:lang w:val="en-US" w:eastAsia="zh-CN"/>
              </w:rPr>
              <w:t>8</w:t>
            </w:r>
            <w:r>
              <w:rPr>
                <w:rFonts w:hint="eastAsia"/>
                <w:sz w:val="21"/>
                <w:szCs w:val="21"/>
              </w:rPr>
              <w:t>条</w:t>
            </w:r>
          </w:p>
        </w:tc>
        <w:tc>
          <w:tcPr>
            <w:tcW w:w="2405" w:type="dxa"/>
            <w:noWrap w:val="0"/>
            <w:vAlign w:val="center"/>
          </w:tcPr>
          <w:p>
            <w:pPr>
              <w:keepNext w:val="0"/>
              <w:keepLines w:val="0"/>
              <w:suppressLineNumbers w:val="0"/>
              <w:spacing w:before="0" w:beforeAutospacing="0" w:after="0" w:afterAutospacing="0"/>
              <w:ind w:left="0" w:leftChars="0" w:right="0" w:rightChars="0"/>
              <w:rPr>
                <w:rFonts w:hint="eastAsia" w:eastAsia="宋体"/>
                <w:kern w:val="2"/>
                <w:sz w:val="21"/>
                <w:szCs w:val="21"/>
                <w:lang w:val="en-US" w:eastAsia="zh-CN" w:bidi="ar-SA"/>
              </w:rPr>
            </w:pPr>
            <w:r>
              <w:rPr>
                <w:rFonts w:hint="eastAsia"/>
                <w:sz w:val="21"/>
                <w:szCs w:val="21"/>
              </w:rPr>
              <w:t>现场可燃气体报警</w:t>
            </w:r>
            <w:r>
              <w:rPr>
                <w:rFonts w:hint="eastAsia"/>
                <w:sz w:val="21"/>
                <w:szCs w:val="21"/>
                <w:lang w:eastAsia="zh-CN"/>
              </w:rPr>
              <w:t>系统独立设置。</w:t>
            </w:r>
          </w:p>
        </w:tc>
        <w:tc>
          <w:tcPr>
            <w:tcW w:w="684" w:type="dxa"/>
            <w:noWrap w:val="0"/>
            <w:vAlign w:val="center"/>
          </w:tcPr>
          <w:p>
            <w:pPr>
              <w:keepNext w:val="0"/>
              <w:keepLines w:val="0"/>
              <w:suppressLineNumbers w:val="0"/>
              <w:spacing w:before="0" w:beforeAutospacing="0" w:after="0" w:afterAutospacing="0"/>
              <w:ind w:left="0" w:leftChars="0" w:right="0" w:rightChars="0"/>
              <w:jc w:val="center"/>
              <w:rPr>
                <w:rFonts w:hint="eastAsia"/>
                <w:kern w:val="2"/>
                <w:sz w:val="21"/>
                <w:szCs w:val="21"/>
                <w:lang w:val="en-US" w:eastAsia="zh-CN" w:bidi="ar-SA"/>
              </w:rPr>
            </w:pPr>
            <w:r>
              <w:rPr>
                <w:rFonts w:hint="eastAsia"/>
                <w:sz w:val="21"/>
                <w:szCs w:val="21"/>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sz w:val="21"/>
                <w:szCs w:val="21"/>
              </w:rPr>
            </w:pPr>
          </w:p>
        </w:tc>
        <w:tc>
          <w:tcPr>
            <w:tcW w:w="3300"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rPr>
              <w:t>检测比空气重的可燃气体或有毒气体时，检测器安装高度距地坪（或楼板）0.3~0.6m。</w:t>
            </w:r>
          </w:p>
        </w:tc>
        <w:tc>
          <w:tcPr>
            <w:tcW w:w="2358" w:type="dxa"/>
            <w:noWrap w:val="0"/>
            <w:vAlign w:val="center"/>
          </w:tcPr>
          <w:p>
            <w:pPr>
              <w:pStyle w:val="92"/>
              <w:keepNext w:val="0"/>
              <w:keepLines w:val="0"/>
              <w:widowControl/>
              <w:suppressLineNumbers w:val="0"/>
              <w:tabs>
                <w:tab w:val="clear" w:pos="1134"/>
              </w:tabs>
              <w:spacing w:before="0" w:beforeAutospacing="0" w:after="0" w:afterAutospacing="0"/>
              <w:ind w:left="0" w:leftChars="0" w:right="0" w:right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《石油化工可燃气体和有毒气体检测报警设计标准》</w:t>
            </w:r>
            <w:r>
              <w:rPr>
                <w:rFonts w:hint="eastAsia" w:cs="Times New Roman"/>
                <w:color w:val="000000"/>
                <w:sz w:val="21"/>
                <w:szCs w:val="21"/>
                <w:lang w:val="en-US" w:eastAsia="zh-CN"/>
              </w:rPr>
              <w:t>（</w:t>
            </w:r>
            <w:r>
              <w:rPr>
                <w:rFonts w:hint="default" w:ascii="Times New Roman" w:hAnsi="Times New Roman" w:eastAsia="宋体" w:cs="Times New Roman"/>
                <w:color w:val="000000"/>
                <w:sz w:val="21"/>
                <w:szCs w:val="21"/>
                <w:lang w:val="en-US" w:eastAsia="zh-CN"/>
              </w:rPr>
              <w:t>GB/T50493-</w:t>
            </w:r>
          </w:p>
          <w:p>
            <w:pPr>
              <w:spacing w:line="240" w:lineRule="auto"/>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color w:val="000000"/>
                <w:sz w:val="21"/>
                <w:szCs w:val="21"/>
                <w:lang w:val="en-US" w:eastAsia="zh-CN"/>
              </w:rPr>
              <w:t>2019</w:t>
            </w:r>
            <w:r>
              <w:rPr>
                <w:rFonts w:hint="eastAsia" w:cs="Times New Roman"/>
                <w:color w:val="000000"/>
                <w:sz w:val="21"/>
                <w:szCs w:val="21"/>
                <w:lang w:val="en-US" w:eastAsia="zh-CN"/>
              </w:rPr>
              <w:t>）</w:t>
            </w:r>
            <w:r>
              <w:rPr>
                <w:rFonts w:hint="default" w:ascii="Times New Roman" w:hAnsi="Times New Roman" w:eastAsia="宋体" w:cs="Times New Roman"/>
                <w:b w:val="0"/>
                <w:bCs w:val="0"/>
                <w:color w:val="000000"/>
                <w:sz w:val="21"/>
                <w:szCs w:val="21"/>
              </w:rPr>
              <w:t>第6.1.</w:t>
            </w:r>
            <w:r>
              <w:rPr>
                <w:rFonts w:hint="eastAsia" w:ascii="Times New Roman" w:hAnsi="Times New Roman" w:eastAsia="宋体" w:cs="Times New Roman"/>
                <w:b w:val="0"/>
                <w:bCs w:val="0"/>
                <w:color w:val="000000"/>
                <w:sz w:val="21"/>
                <w:szCs w:val="21"/>
                <w:lang w:val="en-US" w:eastAsia="zh-CN"/>
              </w:rPr>
              <w:t>2</w:t>
            </w:r>
            <w:r>
              <w:rPr>
                <w:rFonts w:hint="default" w:ascii="Times New Roman" w:hAnsi="Times New Roman" w:eastAsia="宋体" w:cs="Times New Roman"/>
                <w:b w:val="0"/>
                <w:bCs w:val="0"/>
                <w:color w:val="000000"/>
                <w:sz w:val="21"/>
                <w:szCs w:val="21"/>
              </w:rPr>
              <w:t>条</w:t>
            </w:r>
          </w:p>
        </w:tc>
        <w:tc>
          <w:tcPr>
            <w:tcW w:w="2405"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eastAsia="zh-CN"/>
              </w:rPr>
              <w:t>可燃气体报警器安装高度</w:t>
            </w:r>
            <w:r>
              <w:rPr>
                <w:rFonts w:hint="eastAsia" w:ascii="Times New Roman" w:hAnsi="Times New Roman" w:eastAsia="宋体" w:cs="Times New Roman"/>
                <w:b w:val="0"/>
                <w:bCs w:val="0"/>
                <w:color w:val="000000"/>
                <w:sz w:val="21"/>
                <w:szCs w:val="21"/>
                <w:lang w:eastAsia="zh-CN"/>
              </w:rPr>
              <w:t>满足要求</w:t>
            </w:r>
            <w:r>
              <w:rPr>
                <w:rFonts w:hint="default" w:ascii="Times New Roman" w:hAnsi="Times New Roman" w:eastAsia="宋体" w:cs="Times New Roman"/>
                <w:b w:val="0"/>
                <w:bCs w:val="0"/>
                <w:color w:val="000000"/>
                <w:sz w:val="21"/>
                <w:szCs w:val="21"/>
              </w:rPr>
              <w:t>。</w:t>
            </w:r>
          </w:p>
        </w:tc>
        <w:tc>
          <w:tcPr>
            <w:tcW w:w="684" w:type="dxa"/>
            <w:noWrap w:val="0"/>
            <w:vAlign w:val="center"/>
          </w:tcPr>
          <w:p>
            <w:pPr>
              <w:spacing w:line="240" w:lineRule="auto"/>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left"/>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钢斜梯应采用焊接连接。</w:t>
            </w:r>
          </w:p>
        </w:tc>
        <w:tc>
          <w:tcPr>
            <w:tcW w:w="2358"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w:t>
            </w:r>
            <w:r>
              <w:rPr>
                <w:rFonts w:hint="eastAsia" w:cs="Times New Roman"/>
                <w:color w:val="000000"/>
                <w:spacing w:val="0"/>
                <w:kern w:val="2"/>
                <w:sz w:val="21"/>
                <w:szCs w:val="21"/>
                <w:lang w:val="en-US" w:eastAsia="zh-CN"/>
              </w:rPr>
              <w:t>固定式钢梯及平台安全要求 第2部分：钢斜梯</w:t>
            </w:r>
            <w:r>
              <w:rPr>
                <w:rFonts w:hint="default" w:ascii="Times New Roman" w:hAnsi="Times New Roman" w:eastAsia="宋体" w:cs="Times New Roman"/>
                <w:color w:val="000000"/>
                <w:spacing w:val="0"/>
                <w:kern w:val="2"/>
                <w:sz w:val="21"/>
                <w:szCs w:val="21"/>
                <w:lang w:val="en-US" w:eastAsia="zh-CN"/>
              </w:rPr>
              <w:t>》</w:t>
            </w:r>
            <w:r>
              <w:rPr>
                <w:rFonts w:hint="eastAsia" w:cs="Times New Roman"/>
                <w:color w:val="000000"/>
                <w:spacing w:val="0"/>
                <w:kern w:val="2"/>
                <w:sz w:val="21"/>
                <w:szCs w:val="21"/>
                <w:lang w:val="en-US" w:eastAsia="zh-CN"/>
              </w:rPr>
              <w:t>（GB4053.2-2009）</w:t>
            </w:r>
            <w:r>
              <w:rPr>
                <w:rFonts w:hint="default" w:ascii="Times New Roman" w:hAnsi="Times New Roman" w:eastAsia="宋体" w:cs="Times New Roman"/>
                <w:color w:val="000000"/>
                <w:spacing w:val="0"/>
                <w:kern w:val="2"/>
                <w:sz w:val="21"/>
                <w:szCs w:val="21"/>
                <w:lang w:val="en-US" w:eastAsia="zh-CN"/>
              </w:rPr>
              <w:t>第4.4.4条</w:t>
            </w:r>
          </w:p>
        </w:tc>
        <w:tc>
          <w:tcPr>
            <w:tcW w:w="2405" w:type="dxa"/>
            <w:noWrap w:val="0"/>
            <w:vAlign w:val="center"/>
          </w:tcPr>
          <w:p>
            <w:pPr>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钢斜梯采用焊接连接。</w:t>
            </w:r>
          </w:p>
        </w:tc>
        <w:tc>
          <w:tcPr>
            <w:tcW w:w="684" w:type="dxa"/>
            <w:noWrap w:val="0"/>
            <w:vAlign w:val="center"/>
          </w:tcPr>
          <w:p>
            <w:pPr>
              <w:spacing w:line="240" w:lineRule="auto"/>
              <w:ind w:left="0" w:leftChars="0" w:firstLine="0" w:firstLineChars="0"/>
              <w:jc w:val="center"/>
              <w:rPr>
                <w:rFonts w:hint="eastAsia"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snapToGrid/>
              <w:spacing w:line="240" w:lineRule="auto"/>
              <w:ind w:left="0" w:leftChars="0" w:firstLine="0" w:firstLineChars="0"/>
              <w:jc w:val="left"/>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距下方相邻地板或地面1.2m及以上的平台、通道或工作面的所有敞开边缘应设置防护栏杆。</w:t>
            </w:r>
          </w:p>
        </w:tc>
        <w:tc>
          <w:tcPr>
            <w:tcW w:w="235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《固定式钢梯及平台安全要求第3部分：工业防护栏杆及钢平台》</w:t>
            </w:r>
            <w:r>
              <w:rPr>
                <w:rFonts w:hint="eastAsia"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GB4053.3-2009</w:t>
            </w:r>
            <w:r>
              <w:rPr>
                <w:rFonts w:hint="eastAsia" w:cs="Times New Roman"/>
                <w:color w:val="000000"/>
                <w:kern w:val="2"/>
                <w:sz w:val="21"/>
                <w:szCs w:val="21"/>
                <w:lang w:val="en-US" w:eastAsia="zh-CN" w:bidi="ar-SA"/>
              </w:rPr>
              <w:t>）</w:t>
            </w:r>
          </w:p>
          <w:p>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第4.1.1条</w:t>
            </w:r>
          </w:p>
        </w:tc>
        <w:tc>
          <w:tcPr>
            <w:tcW w:w="2405" w:type="dxa"/>
            <w:noWrap w:val="0"/>
            <w:vAlign w:val="center"/>
          </w:tcPr>
          <w:p>
            <w:pPr>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bidi="ar-SA"/>
              </w:rPr>
            </w:pPr>
            <w:r>
              <w:rPr>
                <w:rFonts w:hint="eastAsia" w:ascii="Times New Roman" w:hAnsi="Times New Roman" w:eastAsia="宋体" w:cs="Times New Roman"/>
                <w:color w:val="000000"/>
                <w:spacing w:val="0"/>
                <w:kern w:val="2"/>
                <w:sz w:val="21"/>
                <w:szCs w:val="21"/>
                <w:lang w:val="en-US" w:eastAsia="zh-CN"/>
              </w:rPr>
              <w:t>高处作业平台均设置了防护栏杆</w:t>
            </w:r>
            <w:r>
              <w:rPr>
                <w:rFonts w:hint="default" w:ascii="Times New Roman" w:hAnsi="Times New Roman" w:eastAsia="宋体" w:cs="Times New Roman"/>
                <w:color w:val="000000"/>
                <w:kern w:val="2"/>
                <w:sz w:val="21"/>
                <w:szCs w:val="21"/>
                <w:lang w:val="en-US" w:eastAsia="zh-CN" w:bidi="ar-SA"/>
              </w:rPr>
              <w:t>。</w:t>
            </w:r>
          </w:p>
        </w:tc>
        <w:tc>
          <w:tcPr>
            <w:tcW w:w="684" w:type="dxa"/>
            <w:noWrap w:val="0"/>
            <w:vAlign w:val="center"/>
          </w:tcPr>
          <w:p>
            <w:pPr>
              <w:spacing w:line="240" w:lineRule="auto"/>
              <w:ind w:left="0" w:leftChars="0" w:firstLine="0" w:firstLineChars="0"/>
              <w:jc w:val="center"/>
              <w:rPr>
                <w:rFonts w:hint="eastAsia"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color w:val="000000"/>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keepNext w:val="0"/>
              <w:keepLines w:val="0"/>
              <w:suppressLineNumbers w:val="0"/>
              <w:spacing w:before="0" w:beforeAutospacing="0" w:after="0" w:afterAutospacing="0"/>
              <w:ind w:left="0" w:leftChars="0" w:right="0" w:rightChars="0"/>
              <w:rPr>
                <w:rFonts w:hint="default"/>
                <w:sz w:val="21"/>
                <w:szCs w:val="21"/>
                <w:lang w:val="en-US" w:eastAsia="zh-CN"/>
              </w:rPr>
            </w:pPr>
            <w:r>
              <w:rPr>
                <w:rFonts w:hint="default"/>
                <w:sz w:val="21"/>
                <w:szCs w:val="21"/>
                <w:lang w:val="en-US" w:eastAsia="zh-CN"/>
              </w:rPr>
              <w:t>在平台、通道或工作面上可能使用工具、机器部件或物品场合，应在所有敞开边缘设置带踢脚板的防护栏杆。</w:t>
            </w:r>
          </w:p>
        </w:tc>
        <w:tc>
          <w:tcPr>
            <w:tcW w:w="235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《固定式钢梯及平台安全要求第3部分：工业防护栏杆及钢平台》</w:t>
            </w:r>
            <w:r>
              <w:rPr>
                <w:rFonts w:hint="eastAsia" w:ascii="Times New Roman" w:hAnsi="Times New Roman" w:eastAsia="宋体" w:cs="Times New Roman"/>
                <w:color w:val="000000"/>
                <w:kern w:val="2"/>
                <w:sz w:val="21"/>
                <w:szCs w:val="21"/>
                <w:lang w:val="en-US" w:eastAsia="zh-CN" w:bidi="ar-SA"/>
              </w:rPr>
              <w:t>（</w:t>
            </w:r>
            <w:r>
              <w:rPr>
                <w:rFonts w:hint="default" w:ascii="Times New Roman" w:hAnsi="Times New Roman" w:eastAsia="宋体" w:cs="Times New Roman"/>
                <w:color w:val="000000"/>
                <w:kern w:val="2"/>
                <w:sz w:val="21"/>
                <w:szCs w:val="21"/>
                <w:lang w:val="en-US" w:eastAsia="zh-CN" w:bidi="ar-SA"/>
              </w:rPr>
              <w:t>GB4053.3-2009</w:t>
            </w:r>
            <w:r>
              <w:rPr>
                <w:rFonts w:hint="eastAsia" w:ascii="Times New Roman" w:hAnsi="Times New Roman" w:eastAsia="宋体" w:cs="Times New Roman"/>
                <w:color w:val="000000"/>
                <w:kern w:val="2"/>
                <w:sz w:val="21"/>
                <w:szCs w:val="21"/>
                <w:lang w:val="en-US" w:eastAsia="zh-CN" w:bidi="ar-SA"/>
              </w:rPr>
              <w:t>）</w:t>
            </w:r>
          </w:p>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第4.1.2条</w:t>
            </w:r>
          </w:p>
        </w:tc>
        <w:tc>
          <w:tcPr>
            <w:tcW w:w="2405" w:type="dxa"/>
            <w:noWrap w:val="0"/>
            <w:vAlign w:val="center"/>
          </w:tcPr>
          <w:p>
            <w:pPr>
              <w:snapToGrid/>
              <w:spacing w:line="240" w:lineRule="auto"/>
              <w:ind w:left="0" w:leftChars="0" w:firstLine="0" w:firstLineChars="0"/>
              <w:jc w:val="left"/>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高处作业平台</w:t>
            </w:r>
            <w:r>
              <w:rPr>
                <w:rFonts w:hint="default" w:ascii="Times New Roman" w:hAnsi="Times New Roman" w:eastAsia="宋体" w:cs="Times New Roman"/>
                <w:color w:val="000000"/>
                <w:kern w:val="2"/>
                <w:sz w:val="21"/>
                <w:szCs w:val="21"/>
                <w:lang w:val="en-US" w:eastAsia="zh-CN" w:bidi="ar-SA"/>
              </w:rPr>
              <w:t>敞开边缘的防护栏杆</w:t>
            </w:r>
            <w:r>
              <w:rPr>
                <w:rFonts w:hint="eastAsia" w:ascii="Times New Roman" w:hAnsi="Times New Roman" w:eastAsia="宋体" w:cs="Times New Roman"/>
                <w:color w:val="000000"/>
                <w:kern w:val="2"/>
                <w:sz w:val="21"/>
                <w:szCs w:val="21"/>
                <w:lang w:val="en-US" w:eastAsia="zh-CN" w:bidi="ar-SA"/>
              </w:rPr>
              <w:t>设置了</w:t>
            </w:r>
            <w:r>
              <w:rPr>
                <w:rFonts w:hint="default" w:ascii="Times New Roman" w:hAnsi="Times New Roman" w:eastAsia="宋体" w:cs="Times New Roman"/>
                <w:color w:val="000000"/>
                <w:kern w:val="2"/>
                <w:sz w:val="21"/>
                <w:szCs w:val="21"/>
                <w:lang w:val="en-US" w:eastAsia="zh-CN" w:bidi="ar-SA"/>
              </w:rPr>
              <w:t>踢脚板。</w:t>
            </w:r>
          </w:p>
        </w:tc>
        <w:tc>
          <w:tcPr>
            <w:tcW w:w="684" w:type="dxa"/>
            <w:noWrap w:val="0"/>
            <w:vAlign w:val="center"/>
          </w:tcPr>
          <w:p>
            <w:pPr>
              <w:spacing w:line="240" w:lineRule="auto"/>
              <w:ind w:left="0" w:leftChars="0" w:firstLine="0" w:firstLineChars="0"/>
              <w:jc w:val="center"/>
              <w:rPr>
                <w:rFonts w:hint="eastAsia" w:ascii="Times New Roman" w:hAnsi="Times New Roman" w:eastAsia="宋体" w:cs="Times New Roman"/>
                <w:color w:val="000000"/>
                <w:spacing w:val="0"/>
                <w:kern w:val="2"/>
                <w:sz w:val="21"/>
                <w:szCs w:val="21"/>
                <w:lang w:val="en-US" w:eastAsia="zh-CN" w:bidi="ar-SA"/>
              </w:rPr>
            </w:pPr>
            <w:r>
              <w:rPr>
                <w:rFonts w:hint="eastAsia" w:ascii="Times New Roman" w:hAnsi="Times New Roman" w:eastAsia="宋体" w:cs="Times New Roman"/>
                <w:color w:val="000000"/>
                <w:spacing w:val="0"/>
                <w:kern w:val="2"/>
                <w:sz w:val="21"/>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3300" w:type="dxa"/>
            <w:noWrap w:val="0"/>
            <w:vAlign w:val="center"/>
          </w:tcPr>
          <w:p>
            <w:pPr>
              <w:keepNext w:val="0"/>
              <w:keepLines w:val="0"/>
              <w:suppressLineNumbers w:val="0"/>
              <w:spacing w:before="0" w:beforeAutospacing="0" w:after="0" w:afterAutospacing="0"/>
              <w:ind w:left="0" w:leftChars="0" w:right="0" w:rightChars="0"/>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压力表的校验和维护应符合国家计量部门的有关规定；压力表安装前应进行校验；在刻度盘上应划出指示工作压力的红线，注明下次校验日期；压力表校验后应加铅封</w:t>
            </w:r>
            <w:r>
              <w:rPr>
                <w:rFonts w:hint="eastAsia"/>
                <w:color w:val="000000" w:themeColor="text1"/>
                <w:sz w:val="21"/>
                <w:szCs w:val="21"/>
                <w:lang w:val="en-US" w:eastAsia="zh-CN"/>
                <w14:textFill>
                  <w14:solidFill>
                    <w14:schemeClr w14:val="tx1"/>
                  </w14:solidFill>
                </w14:textFill>
              </w:rPr>
              <w:t>。</w:t>
            </w:r>
          </w:p>
        </w:tc>
        <w:tc>
          <w:tcPr>
            <w:tcW w:w="235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《固定式压力容器安全技术监察规程》（TSG 21-2016）第8.4.2条</w:t>
            </w:r>
          </w:p>
        </w:tc>
        <w:tc>
          <w:tcPr>
            <w:tcW w:w="2405" w:type="dxa"/>
            <w:noWrap w:val="0"/>
            <w:vAlign w:val="center"/>
          </w:tcPr>
          <w:p>
            <w:pPr>
              <w:spacing w:line="240" w:lineRule="auto"/>
              <w:ind w:left="0" w:leftChars="0"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车间部分压力表未设置最高工作压力红线。</w:t>
            </w:r>
          </w:p>
        </w:tc>
        <w:tc>
          <w:tcPr>
            <w:tcW w:w="684" w:type="dxa"/>
            <w:noWrap w:val="0"/>
            <w:vAlign w:val="center"/>
          </w:tcPr>
          <w:p>
            <w:pPr>
              <w:spacing w:line="240" w:lineRule="auto"/>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不</w:t>
            </w:r>
            <w:r>
              <w:rPr>
                <w:rFonts w:hint="eastAsia" w:ascii="宋体" w:hAnsi="宋体" w:cs="宋体"/>
                <w:color w:val="000000" w:themeColor="text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与粉尘直接接触的设备或装置（如电机外壳、传动轴、加热源等），其表面最高温度应低于相应粉尘的最低着火温度。</w:t>
            </w:r>
          </w:p>
        </w:tc>
        <w:tc>
          <w:tcPr>
            <w:tcW w:w="235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《粉尘防爆安全规程》（GB15577-2018）第6.2.2条</w:t>
            </w:r>
          </w:p>
        </w:tc>
        <w:tc>
          <w:tcPr>
            <w:tcW w:w="2405"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玉米芯上料处电机外壳防护等级IP44，满足要求。</w:t>
            </w:r>
          </w:p>
        </w:tc>
        <w:tc>
          <w:tcPr>
            <w:tcW w:w="684" w:type="dxa"/>
            <w:noWrap w:val="0"/>
            <w:vAlign w:val="center"/>
          </w:tcPr>
          <w:p>
            <w:pPr>
              <w:pStyle w:val="2"/>
              <w:ind w:firstLine="0" w:firstLineChars="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粉尘爆炸危险场所的设备和装置的传动机构的工艺设备的轴承应密封防尘并定期维护。</w:t>
            </w:r>
          </w:p>
        </w:tc>
        <w:tc>
          <w:tcPr>
            <w:tcW w:w="235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《粉尘防爆安全规程》（GB15577-2018）第6.2.3条</w:t>
            </w:r>
          </w:p>
        </w:tc>
        <w:tc>
          <w:tcPr>
            <w:tcW w:w="2405"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玉米芯上料处电机外壳防护等级IP44，满足要求。</w:t>
            </w:r>
          </w:p>
        </w:tc>
        <w:tc>
          <w:tcPr>
            <w:tcW w:w="684" w:type="dxa"/>
            <w:noWrap w:val="0"/>
            <w:vAlign w:val="center"/>
          </w:tcPr>
          <w:p>
            <w:pPr>
              <w:pStyle w:val="2"/>
              <w:ind w:firstLine="0" w:firstLineChars="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auto"/>
                <w:sz w:val="21"/>
                <w:szCs w:val="21"/>
              </w:rPr>
            </w:pPr>
          </w:p>
        </w:tc>
        <w:tc>
          <w:tcPr>
            <w:tcW w:w="3300"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禁止采用干式静电除尘器和重力沉降室除尘。</w:t>
            </w:r>
          </w:p>
        </w:tc>
        <w:tc>
          <w:tcPr>
            <w:tcW w:w="235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《粉尘防爆安全规程》（GB15577-2018）第8.4.2条</w:t>
            </w:r>
          </w:p>
        </w:tc>
        <w:tc>
          <w:tcPr>
            <w:tcW w:w="2405"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未采用干式静电除尘器和重力沉降室除尘。</w:t>
            </w:r>
          </w:p>
        </w:tc>
        <w:tc>
          <w:tcPr>
            <w:tcW w:w="684" w:type="dxa"/>
            <w:noWrap w:val="0"/>
            <w:vAlign w:val="center"/>
          </w:tcPr>
          <w:p>
            <w:pPr>
              <w:pStyle w:val="2"/>
              <w:ind w:firstLine="0" w:firstLineChars="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3300"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生产车间防火门应采用常闭防火门。</w:t>
            </w:r>
          </w:p>
        </w:tc>
        <w:tc>
          <w:tcPr>
            <w:tcW w:w="2358" w:type="dxa"/>
            <w:noWrap w:val="0"/>
            <w:vAlign w:val="center"/>
          </w:tcPr>
          <w:p>
            <w:pPr>
              <w:spacing w:line="240" w:lineRule="auto"/>
              <w:jc w:val="cente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《建筑设计防火规范》</w:t>
            </w:r>
            <w:r>
              <w:rPr>
                <w:rFonts w:hint="eastAsia" w:cs="Times New Roman"/>
                <w:bCs/>
                <w:snapToGrid/>
                <w:color w:val="000000" w:themeColor="text1"/>
                <w:w w:val="100"/>
                <w:kern w:val="28"/>
                <w:sz w:val="21"/>
                <w:szCs w:val="21"/>
                <w:lang w:val="en-US" w:eastAsia="zh-CN" w:bidi="ar-SA"/>
                <w14:textFill>
                  <w14:solidFill>
                    <w14:schemeClr w14:val="tx1"/>
                  </w14:solidFill>
                </w14:textFill>
              </w:rPr>
              <w:t>（</w:t>
            </w: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GB50016-2014</w:t>
            </w:r>
          </w:p>
          <w:p>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[2018年版]</w:t>
            </w:r>
            <w:r>
              <w:rPr>
                <w:rFonts w:hint="eastAsia" w:cs="Times New Roman"/>
                <w:bCs/>
                <w:snapToGrid/>
                <w:color w:val="000000" w:themeColor="text1"/>
                <w:w w:val="100"/>
                <w:kern w:val="28"/>
                <w:sz w:val="21"/>
                <w:szCs w:val="21"/>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14:textFill>
                  <w14:solidFill>
                    <w14:schemeClr w14:val="tx1"/>
                  </w14:solidFill>
                </w14:textFill>
              </w:rPr>
              <w:t>第</w:t>
            </w:r>
            <w:r>
              <w:rPr>
                <w:rFonts w:hint="eastAsia" w:cs="Times New Roman"/>
                <w:color w:val="000000" w:themeColor="text1"/>
                <w:kern w:val="0"/>
                <w:sz w:val="21"/>
                <w:szCs w:val="21"/>
                <w:lang w:val="en-US" w:eastAsia="zh-CN"/>
                <w14:textFill>
                  <w14:solidFill>
                    <w14:schemeClr w14:val="tx1"/>
                  </w14:solidFill>
                </w14:textFill>
              </w:rPr>
              <w:t>6.5.1条</w:t>
            </w:r>
          </w:p>
        </w:tc>
        <w:tc>
          <w:tcPr>
            <w:tcW w:w="2405" w:type="dxa"/>
            <w:noWrap w:val="0"/>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精制车间</w:t>
            </w:r>
            <w:r>
              <w:rPr>
                <w:rFonts w:hint="eastAsia" w:cs="Times New Roman"/>
                <w:color w:val="000000" w:themeColor="text1"/>
                <w:sz w:val="21"/>
                <w:szCs w:val="21"/>
                <w:lang w:val="en-US" w:eastAsia="zh-CN"/>
                <w14:textFill>
                  <w14:solidFill>
                    <w14:schemeClr w14:val="tx1"/>
                  </w14:solidFill>
                </w14:textFill>
              </w:rPr>
              <w:t>采用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防火门。</w:t>
            </w:r>
          </w:p>
        </w:tc>
        <w:tc>
          <w:tcPr>
            <w:tcW w:w="684" w:type="dxa"/>
            <w:noWrap w:val="0"/>
            <w:vAlign w:val="center"/>
          </w:tcPr>
          <w:p>
            <w:pPr>
              <w:pStyle w:val="2"/>
              <w:ind w:firstLine="0" w:firstLineChars="0"/>
              <w:jc w:val="center"/>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2" w:type="dxa"/>
            <w:noWrap w:val="0"/>
            <w:vAlign w:val="center"/>
          </w:tcPr>
          <w:p>
            <w:pPr>
              <w:numPr>
                <w:ilvl w:val="0"/>
                <w:numId w:val="22"/>
              </w:numPr>
              <w:spacing w:line="240" w:lineRule="auto"/>
              <w:ind w:left="425" w:leftChars="0" w:hanging="364" w:firstLineChars="0"/>
              <w:jc w:val="both"/>
              <w:rPr>
                <w:rFonts w:hint="default" w:ascii="Times New Roman" w:hAnsi="Times New Roman" w:eastAsia="宋体" w:cs="Times New Roman"/>
                <w:b w:val="0"/>
                <w:bCs w:val="0"/>
                <w:color w:val="000000" w:themeColor="text1"/>
                <w:sz w:val="21"/>
                <w:szCs w:val="21"/>
                <w14:textFill>
                  <w14:solidFill>
                    <w14:schemeClr w14:val="tx1"/>
                  </w14:solidFill>
                </w14:textFill>
              </w:rPr>
            </w:pPr>
          </w:p>
        </w:tc>
        <w:tc>
          <w:tcPr>
            <w:tcW w:w="3300" w:type="dxa"/>
            <w:noWrap w:val="0"/>
            <w:vAlign w:val="center"/>
          </w:tcPr>
          <w:p>
            <w:pPr>
              <w:pStyle w:val="34"/>
              <w:spacing w:line="240" w:lineRule="atLeast"/>
              <w:jc w:val="both"/>
              <w:rPr>
                <w:rFonts w:hint="eastAsia" w:ascii="Times New Roman" w:hAnsi="Times New Roman" w:eastAsia="宋体" w:cs="宋体"/>
                <w:color w:val="auto"/>
                <w:kern w:val="2"/>
                <w:sz w:val="21"/>
                <w:szCs w:val="21"/>
                <w:lang w:val="en-US" w:eastAsia="zh-CN" w:bidi="ar-SA"/>
              </w:rPr>
            </w:pPr>
            <w:r>
              <w:rPr>
                <w:rFonts w:hint="eastAsia" w:ascii="Times New Roman" w:hAnsi="Times New Roman" w:eastAsia="宋体" w:cs="Times New Roman"/>
                <w:color w:val="auto"/>
                <w:kern w:val="16"/>
                <w:sz w:val="21"/>
                <w:szCs w:val="21"/>
              </w:rPr>
              <w:t>工业管道的识别符号由物质名称、流向和主要工艺参数等组成。</w:t>
            </w:r>
          </w:p>
        </w:tc>
        <w:tc>
          <w:tcPr>
            <w:tcW w:w="2358" w:type="dxa"/>
            <w:noWrap w:val="0"/>
            <w:vAlign w:val="center"/>
          </w:tcPr>
          <w:p>
            <w:pPr>
              <w:spacing w:line="280" w:lineRule="exact"/>
              <w:jc w:val="center"/>
              <w:rPr>
                <w:color w:val="auto"/>
                <w:szCs w:val="21"/>
                <w:lang w:val="zh-CN"/>
              </w:rPr>
            </w:pPr>
            <w:r>
              <w:rPr>
                <w:color w:val="auto"/>
                <w:szCs w:val="21"/>
                <w:lang w:val="zh-CN"/>
              </w:rPr>
              <w:t>《工业管道的基本识别色、识别符号和安全标识》（GB</w:t>
            </w:r>
            <w:r>
              <w:rPr>
                <w:rFonts w:hint="eastAsia"/>
                <w:color w:val="auto"/>
                <w:szCs w:val="21"/>
                <w:lang w:val="zh-CN"/>
              </w:rPr>
              <w:t>7</w:t>
            </w:r>
            <w:r>
              <w:rPr>
                <w:rFonts w:hint="eastAsia"/>
                <w:color w:val="auto"/>
                <w:szCs w:val="21"/>
              </w:rPr>
              <w:t>2</w:t>
            </w:r>
            <w:r>
              <w:rPr>
                <w:color w:val="auto"/>
                <w:szCs w:val="21"/>
                <w:lang w:val="zh-CN"/>
              </w:rPr>
              <w:t>31-2003）</w:t>
            </w:r>
          </w:p>
          <w:p>
            <w:pPr>
              <w:spacing w:line="280" w:lineRule="exact"/>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zh-CN"/>
              </w:rPr>
              <w:t>第</w:t>
            </w:r>
            <w:r>
              <w:rPr>
                <w:rFonts w:hint="eastAsia"/>
                <w:color w:val="auto"/>
                <w:szCs w:val="21"/>
              </w:rPr>
              <w:t>5条</w:t>
            </w:r>
          </w:p>
        </w:tc>
        <w:tc>
          <w:tcPr>
            <w:tcW w:w="2405" w:type="dxa"/>
            <w:noWrap w:val="0"/>
            <w:vAlign w:val="center"/>
          </w:tcPr>
          <w:p>
            <w:pPr>
              <w:spacing w:line="240" w:lineRule="atLeast"/>
              <w:jc w:val="left"/>
              <w:rPr>
                <w:rFonts w:hint="eastAsia" w:ascii="Times New Roman" w:hAnsi="Times New Roman" w:eastAsia="宋体" w:cs="Times New Roman"/>
                <w:color w:val="auto"/>
                <w:kern w:val="2"/>
                <w:sz w:val="21"/>
                <w:szCs w:val="21"/>
                <w:lang w:val="en-US" w:eastAsia="zh-CN" w:bidi="ar-SA"/>
              </w:rPr>
            </w:pPr>
            <w:r>
              <w:rPr>
                <w:rFonts w:hint="eastAsia"/>
                <w:color w:val="auto"/>
                <w:szCs w:val="21"/>
              </w:rPr>
              <w:t>管道</w:t>
            </w:r>
            <w:r>
              <w:rPr>
                <w:rFonts w:hint="eastAsia"/>
                <w:color w:val="auto"/>
                <w:szCs w:val="21"/>
                <w:lang w:val="en-US" w:eastAsia="zh-CN"/>
              </w:rPr>
              <w:t>缺少</w:t>
            </w:r>
            <w:r>
              <w:rPr>
                <w:rFonts w:hint="eastAsia"/>
                <w:color w:val="auto"/>
                <w:szCs w:val="21"/>
              </w:rPr>
              <w:t>流向等安全标识</w:t>
            </w:r>
            <w:r>
              <w:rPr>
                <w:rFonts w:hint="eastAsia"/>
                <w:color w:val="auto"/>
                <w:szCs w:val="21"/>
                <w:lang w:eastAsia="zh-CN"/>
              </w:rPr>
              <w:t>。</w:t>
            </w:r>
          </w:p>
        </w:tc>
        <w:tc>
          <w:tcPr>
            <w:tcW w:w="684" w:type="dxa"/>
            <w:noWrap w:val="0"/>
            <w:vAlign w:val="center"/>
          </w:tcPr>
          <w:p>
            <w:pPr>
              <w:spacing w:line="240" w:lineRule="atLeast"/>
              <w:jc w:val="center"/>
              <w:rPr>
                <w:rFonts w:hint="eastAsia" w:ascii="Times New Roman" w:hAnsi="Times New Roman" w:eastAsia="宋体" w:cs="Times New Roman"/>
                <w:color w:val="auto"/>
                <w:kern w:val="2"/>
                <w:sz w:val="21"/>
                <w:szCs w:val="21"/>
                <w:lang w:val="en-US" w:eastAsia="zh-CN" w:bidi="ar-SA"/>
              </w:rPr>
            </w:pPr>
            <w:r>
              <w:rPr>
                <w:rFonts w:hint="eastAsia" w:ascii="宋体" w:hAnsi="宋体" w:cs="宋体"/>
                <w:color w:val="000000" w:themeColor="text1"/>
                <w:szCs w:val="21"/>
                <w:lang w:val="en-US" w:eastAsia="zh-CN"/>
                <w14:textFill>
                  <w14:solidFill>
                    <w14:schemeClr w14:val="tx1"/>
                  </w14:solidFill>
                </w14:textFill>
              </w:rPr>
              <w:t>不符合</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560" w:firstLineChars="200"/>
        <w:jc w:val="left"/>
        <w:textAlignment w:val="auto"/>
        <w:rPr>
          <w:rFonts w:hint="eastAsia" w:ascii="Times New Roman" w:hAnsi="Times New Roman" w:eastAsia="宋体" w:cs="Times New Roman"/>
          <w:snapToGrid/>
          <w:color w:val="000000"/>
          <w:w w:val="100"/>
          <w:kern w:val="2"/>
          <w:sz w:val="28"/>
          <w:szCs w:val="28"/>
          <w:lang w:val="en-US" w:eastAsia="zh-CN" w:bidi="ar-SA"/>
        </w:rPr>
      </w:pPr>
      <w:r>
        <w:rPr>
          <w:rFonts w:hint="default" w:ascii="Times New Roman" w:hAnsi="Times New Roman" w:eastAsia="宋体" w:cs="Times New Roman"/>
          <w:kern w:val="2"/>
          <w:sz w:val="28"/>
          <w:szCs w:val="28"/>
          <w:lang w:val="zh-CN" w:eastAsia="zh-CN" w:bidi="ar-SA"/>
        </w:rPr>
        <w:t>小结：</w:t>
      </w:r>
      <w:r>
        <w:rPr>
          <w:rFonts w:hint="eastAsia" w:cs="Times New Roman"/>
          <w:color w:val="auto"/>
          <w:sz w:val="28"/>
          <w:szCs w:val="28"/>
          <w:lang w:eastAsia="zh-CN"/>
        </w:rPr>
        <w:t>生产单元</w:t>
      </w:r>
      <w:r>
        <w:rPr>
          <w:rFonts w:hint="eastAsia" w:ascii="Times New Roman" w:hAnsi="Times New Roman" w:eastAsia="宋体" w:cs="Times New Roman"/>
          <w:color w:val="auto"/>
          <w:sz w:val="28"/>
          <w:szCs w:val="28"/>
          <w:lang w:eastAsia="zh-CN"/>
        </w:rPr>
        <w:t>共</w:t>
      </w:r>
      <w:r>
        <w:rPr>
          <w:rFonts w:hint="default" w:ascii="Times New Roman" w:hAnsi="Times New Roman" w:eastAsia="宋体" w:cs="Times New Roman"/>
          <w:color w:val="auto"/>
          <w:sz w:val="28"/>
          <w:szCs w:val="28"/>
        </w:rPr>
        <w:t>检查</w:t>
      </w:r>
      <w:r>
        <w:rPr>
          <w:rFonts w:hint="eastAsia" w:ascii="Times New Roman" w:hAnsi="Times New Roman" w:eastAsia="宋体" w:cs="Times New Roman"/>
          <w:color w:val="auto"/>
          <w:sz w:val="28"/>
          <w:szCs w:val="28"/>
          <w:lang w:eastAsia="zh-CN"/>
        </w:rPr>
        <w:t>了</w:t>
      </w:r>
      <w:r>
        <w:rPr>
          <w:rFonts w:hint="eastAsia" w:cs="Times New Roman"/>
          <w:color w:val="auto"/>
          <w:sz w:val="28"/>
          <w:szCs w:val="28"/>
          <w:lang w:val="en-US" w:eastAsia="zh-CN"/>
        </w:rPr>
        <w:t>34</w:t>
      </w:r>
      <w:r>
        <w:rPr>
          <w:rFonts w:hint="eastAsia" w:ascii="Times New Roman" w:hAnsi="Times New Roman" w:eastAsia="宋体" w:cs="Times New Roman"/>
          <w:color w:val="auto"/>
          <w:sz w:val="28"/>
          <w:szCs w:val="28"/>
          <w:lang w:val="en-US" w:eastAsia="zh-CN"/>
        </w:rPr>
        <w:t>项</w:t>
      </w:r>
      <w:r>
        <w:rPr>
          <w:rFonts w:hint="default" w:ascii="Times New Roman" w:hAnsi="Times New Roman" w:eastAsia="宋体" w:cs="Times New Roman"/>
          <w:color w:val="auto"/>
          <w:sz w:val="28"/>
          <w:szCs w:val="28"/>
        </w:rPr>
        <w:t>，</w:t>
      </w:r>
      <w:r>
        <w:rPr>
          <w:rFonts w:hint="default" w:ascii="Times New Roman" w:hAnsi="Times New Roman" w:eastAsia="宋体" w:cs="Times New Roman"/>
          <w:color w:val="auto"/>
          <w:sz w:val="28"/>
          <w:szCs w:val="28"/>
          <w:lang w:val="en-US" w:eastAsia="zh-CN"/>
        </w:rPr>
        <w:t>其中</w:t>
      </w:r>
      <w:r>
        <w:rPr>
          <w:rFonts w:hint="eastAsia" w:cs="Times New Roman"/>
          <w:color w:val="auto"/>
          <w:sz w:val="28"/>
          <w:szCs w:val="28"/>
          <w:lang w:val="en-US" w:eastAsia="zh-CN"/>
        </w:rPr>
        <w:t>4</w:t>
      </w:r>
      <w:r>
        <w:rPr>
          <w:rFonts w:hint="default" w:ascii="Times New Roman" w:hAnsi="Times New Roman" w:eastAsia="宋体" w:cs="Times New Roman"/>
          <w:color w:val="auto"/>
          <w:sz w:val="28"/>
          <w:szCs w:val="28"/>
        </w:rPr>
        <w:t>项</w:t>
      </w:r>
      <w:r>
        <w:rPr>
          <w:rFonts w:hint="default" w:ascii="Times New Roman" w:hAnsi="Times New Roman" w:eastAsia="宋体" w:cs="Times New Roman"/>
          <w:color w:val="auto"/>
          <w:sz w:val="28"/>
          <w:szCs w:val="28"/>
          <w:lang w:eastAsia="zh-CN"/>
        </w:rPr>
        <w:t>不</w:t>
      </w:r>
      <w:r>
        <w:rPr>
          <w:rFonts w:hint="eastAsia" w:ascii="Times New Roman" w:hAnsi="Times New Roman" w:eastAsia="宋体" w:cs="Times New Roman"/>
          <w:color w:val="auto"/>
          <w:sz w:val="28"/>
          <w:szCs w:val="28"/>
          <w:lang w:eastAsia="zh-CN"/>
        </w:rPr>
        <w:t>符合项</w:t>
      </w:r>
      <w:r>
        <w:rPr>
          <w:rFonts w:hint="default" w:ascii="Times New Roman" w:hAnsi="Times New Roman" w:eastAsia="宋体" w:cs="Times New Roman"/>
          <w:color w:val="auto"/>
          <w:sz w:val="28"/>
          <w:szCs w:val="28"/>
        </w:rPr>
        <w:t>，</w:t>
      </w:r>
      <w:r>
        <w:rPr>
          <w:rFonts w:hint="default" w:ascii="Times New Roman" w:hAnsi="Times New Roman" w:eastAsia="宋体" w:cs="Times New Roman"/>
          <w:color w:val="auto"/>
          <w:sz w:val="28"/>
          <w:szCs w:val="28"/>
          <w:lang w:eastAsia="zh-CN"/>
        </w:rPr>
        <w:t>其余</w:t>
      </w:r>
      <w:r>
        <w:rPr>
          <w:rFonts w:hint="eastAsia" w:cs="Times New Roman"/>
          <w:color w:val="auto"/>
          <w:sz w:val="28"/>
          <w:szCs w:val="28"/>
          <w:lang w:val="en-US" w:eastAsia="zh-CN"/>
        </w:rPr>
        <w:t>30</w:t>
      </w:r>
      <w:r>
        <w:rPr>
          <w:rFonts w:hint="default" w:ascii="Times New Roman" w:hAnsi="Times New Roman" w:eastAsia="宋体" w:cs="Times New Roman"/>
          <w:color w:val="auto"/>
          <w:sz w:val="28"/>
          <w:szCs w:val="28"/>
        </w:rPr>
        <w:t>项符合要求。</w:t>
      </w:r>
      <w:r>
        <w:rPr>
          <w:rFonts w:hint="eastAsia" w:ascii="Times New Roman" w:hAnsi="Times New Roman" w:eastAsia="宋体" w:cs="Times New Roman"/>
          <w:snapToGrid/>
          <w:color w:val="000000"/>
          <w:w w:val="100"/>
          <w:kern w:val="2"/>
          <w:sz w:val="28"/>
          <w:szCs w:val="28"/>
          <w:lang w:val="en-US" w:eastAsia="zh-CN" w:bidi="ar-SA"/>
        </w:rPr>
        <w:t>不符合项</w:t>
      </w:r>
      <w:r>
        <w:rPr>
          <w:rFonts w:hint="eastAsia" w:cs="Times New Roman"/>
          <w:snapToGrid/>
          <w:color w:val="000000"/>
          <w:w w:val="100"/>
          <w:kern w:val="2"/>
          <w:sz w:val="28"/>
          <w:szCs w:val="28"/>
          <w:lang w:val="en-US" w:eastAsia="zh-CN" w:bidi="ar-SA"/>
        </w:rPr>
        <w:t>为</w:t>
      </w:r>
      <w:r>
        <w:rPr>
          <w:rFonts w:hint="eastAsia" w:ascii="Times New Roman" w:hAnsi="Times New Roman" w:eastAsia="宋体" w:cs="Times New Roman"/>
          <w:snapToGrid/>
          <w:color w:val="000000"/>
          <w:w w:val="100"/>
          <w:kern w:val="2"/>
          <w:sz w:val="28"/>
          <w:szCs w:val="28"/>
          <w:lang w:val="en-US" w:eastAsia="zh-CN" w:bidi="ar-SA"/>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①生产车间皮带输送机机头等未设防护罩。</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②精制车间外接区域电气设备不防爆。</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③生产车间精制工段可燃气体报警器数量不足。</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④车间部分压力表未设置最高工作压力红线。</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⑤管道缺少流向等安全标识。</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sz w:val="28"/>
          <w:szCs w:val="28"/>
          <w:lang w:val="en-US" w:eastAsia="zh-CN"/>
        </w:rPr>
      </w:pPr>
      <w:bookmarkStart w:id="356" w:name="_Toc30948_WPSOffice_Level1"/>
      <w:bookmarkStart w:id="357" w:name="_Toc28424_WPSOffice_Level1"/>
      <w:bookmarkStart w:id="358" w:name="_Toc9898_WPSOffice_Level1"/>
      <w:r>
        <w:rPr>
          <w:rFonts w:hint="eastAsia"/>
          <w:sz w:val="28"/>
          <w:szCs w:val="28"/>
          <w:lang w:val="en-US" w:eastAsia="zh-CN"/>
        </w:rPr>
        <w:t>（3）储存单元安全检查表</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附表3</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 xml:space="preserve">3 </w:t>
      </w:r>
      <w:r>
        <w:rPr>
          <w:rFonts w:hint="eastAsia" w:eastAsia="黑体" w:cs="Times New Roman"/>
          <w:b w:val="0"/>
          <w:bCs w:val="0"/>
          <w:color w:val="000000"/>
          <w:kern w:val="28"/>
          <w:sz w:val="21"/>
          <w:szCs w:val="21"/>
          <w:lang w:val="en-US" w:eastAsia="zh-CN" w:bidi="ar-SA"/>
        </w:rPr>
        <w:t>储存单元</w:t>
      </w:r>
      <w:r>
        <w:rPr>
          <w:rFonts w:hint="eastAsia" w:ascii="Times New Roman" w:hAnsi="Times New Roman" w:eastAsia="黑体" w:cs="Times New Roman"/>
          <w:b w:val="0"/>
          <w:bCs w:val="0"/>
          <w:color w:val="000000"/>
          <w:kern w:val="28"/>
          <w:sz w:val="21"/>
          <w:szCs w:val="21"/>
          <w:lang w:val="en-US" w:eastAsia="zh-CN" w:bidi="ar-SA"/>
        </w:rPr>
        <w:t>安全检查表</w:t>
      </w:r>
    </w:p>
    <w:tbl>
      <w:tblPr>
        <w:tblStyle w:val="37"/>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3425"/>
        <w:gridCol w:w="2288"/>
        <w:gridCol w:w="2325"/>
        <w:gridCol w:w="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76" w:type="dxa"/>
            <w:noWrap w:val="0"/>
            <w:vAlign w:val="center"/>
          </w:tcPr>
          <w:p>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3425" w:type="dxa"/>
            <w:noWrap w:val="0"/>
            <w:vAlign w:val="center"/>
          </w:tcPr>
          <w:p>
            <w:pPr>
              <w:spacing w:line="240" w:lineRule="auto"/>
              <w:ind w:left="-44" w:leftChars="-21" w:right="-46" w:rightChars="-22"/>
              <w:jc w:val="center"/>
              <w:rPr>
                <w:rFonts w:hint="default" w:ascii="Times New Roman" w:hAnsi="Times New Roman" w:eastAsia="宋体" w:cs="Times New Roman"/>
                <w:kern w:val="0"/>
                <w:sz w:val="21"/>
                <w:szCs w:val="21"/>
              </w:rPr>
            </w:pPr>
            <w:r>
              <w:rPr>
                <w:rFonts w:hint="default" w:ascii="Times New Roman" w:hAnsi="Times New Roman" w:eastAsia="宋体" w:cs="Times New Roman"/>
                <w:b/>
                <w:bCs/>
                <w:sz w:val="21"/>
                <w:szCs w:val="21"/>
              </w:rPr>
              <w:t>检查内容</w:t>
            </w:r>
          </w:p>
        </w:tc>
        <w:tc>
          <w:tcPr>
            <w:tcW w:w="2288" w:type="dxa"/>
            <w:noWrap w:val="0"/>
            <w:vAlign w:val="center"/>
          </w:tcPr>
          <w:p>
            <w:pPr>
              <w:spacing w:line="240" w:lineRule="auto"/>
              <w:ind w:left="-44" w:leftChars="-21" w:right="-46" w:rightChars="-22"/>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依据</w:t>
            </w:r>
          </w:p>
        </w:tc>
        <w:tc>
          <w:tcPr>
            <w:tcW w:w="2325" w:type="dxa"/>
            <w:noWrap w:val="0"/>
            <w:vAlign w:val="center"/>
          </w:tcPr>
          <w:p>
            <w:pPr>
              <w:spacing w:line="240" w:lineRule="auto"/>
              <w:ind w:left="-46" w:leftChars="-22" w:right="-63" w:rightChars="-3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实际情况</w:t>
            </w:r>
          </w:p>
        </w:tc>
        <w:tc>
          <w:tcPr>
            <w:tcW w:w="694" w:type="dxa"/>
            <w:noWrap w:val="0"/>
            <w:vAlign w:val="center"/>
          </w:tcPr>
          <w:p>
            <w:pPr>
              <w:spacing w:line="240" w:lineRule="auto"/>
              <w:ind w:left="-63" w:leftChars="-30" w:right="-61" w:rightChars="-29"/>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3425" w:type="dxa"/>
            <w:noWrap w:val="0"/>
            <w:vAlign w:val="center"/>
          </w:tcPr>
          <w:p>
            <w:p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甲、乙、丙类液体的地上式、半地下式储罐区，其每个防火堤内宜布置火灾危险性类别相同或相近的储罐。沸溢性油品储罐不应与非沸溢性油品储罐布置在同一防火堤内。地上式、半地下式储罐不应与地下式储罐布置在同一防火堤内。</w:t>
            </w:r>
          </w:p>
        </w:tc>
        <w:tc>
          <w:tcPr>
            <w:tcW w:w="2288" w:type="dxa"/>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《建筑设计防火规范》</w:t>
            </w:r>
            <w:r>
              <w:rPr>
                <w:rFonts w:hint="eastAsia" w:cs="Times New Roman"/>
                <w:bCs/>
                <w:snapToGrid/>
                <w:color w:val="000000" w:themeColor="text1"/>
                <w:w w:val="100"/>
                <w:kern w:val="28"/>
                <w:sz w:val="21"/>
                <w:szCs w:val="21"/>
                <w:lang w:val="en-US" w:eastAsia="zh-CN" w:bidi="ar-SA"/>
                <w14:textFill>
                  <w14:solidFill>
                    <w14:schemeClr w14:val="tx1"/>
                  </w14:solidFill>
                </w14:textFill>
              </w:rPr>
              <w:t>（</w:t>
            </w:r>
            <w:r>
              <w:rPr>
                <w:rFonts w:hint="default" w:ascii="Times New Roman" w:hAnsi="Times New Roman" w:eastAsia="宋体" w:cs="Times New Roman"/>
                <w:bCs/>
                <w:snapToGrid/>
                <w:color w:val="000000" w:themeColor="text1"/>
                <w:w w:val="100"/>
                <w:kern w:val="28"/>
                <w:sz w:val="21"/>
                <w:szCs w:val="21"/>
                <w:lang w:val="en-US" w:eastAsia="zh-CN" w:bidi="ar-SA"/>
                <w14:textFill>
                  <w14:solidFill>
                    <w14:schemeClr w14:val="tx1"/>
                  </w14:solidFill>
                </w14:textFill>
              </w:rPr>
              <w:t>GB50016-2014[2018年版]</w:t>
            </w:r>
            <w:r>
              <w:rPr>
                <w:rFonts w:hint="eastAsia" w:cs="Times New Roman"/>
                <w:bCs/>
                <w:snapToGrid/>
                <w:color w:val="000000" w:themeColor="text1"/>
                <w:w w:val="100"/>
                <w:kern w:val="28"/>
                <w:sz w:val="21"/>
                <w:szCs w:val="21"/>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14:textFill>
                  <w14:solidFill>
                    <w14:schemeClr w14:val="tx1"/>
                  </w14:solidFill>
                </w14:textFill>
              </w:rPr>
              <w:t>第4.2.4条</w:t>
            </w:r>
          </w:p>
        </w:tc>
        <w:tc>
          <w:tcPr>
            <w:tcW w:w="2325" w:type="dxa"/>
            <w:noWrap w:val="0"/>
            <w:vAlign w:val="center"/>
          </w:tcPr>
          <w:p>
            <w:pPr>
              <w:spacing w:line="240" w:lineRule="auto"/>
              <w:jc w:val="both"/>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糠醛</w:t>
            </w:r>
            <w:r>
              <w:rPr>
                <w:rFonts w:hint="eastAsia"/>
                <w:color w:val="000000" w:themeColor="text1"/>
                <w:lang w:eastAsia="zh-CN"/>
                <w14:textFill>
                  <w14:solidFill>
                    <w14:schemeClr w14:val="tx1"/>
                  </w14:solidFill>
                </w14:textFill>
              </w:rPr>
              <w:t>储存在成品罐区，</w:t>
            </w:r>
            <w:r>
              <w:rPr>
                <w:rFonts w:hint="default"/>
                <w:color w:val="000000" w:themeColor="text1"/>
                <w14:textFill>
                  <w14:solidFill>
                    <w14:schemeClr w14:val="tx1"/>
                  </w14:solidFill>
                </w14:textFill>
              </w:rPr>
              <w:t>硫酸</w:t>
            </w:r>
            <w:r>
              <w:rPr>
                <w:rFonts w:hint="eastAsia"/>
                <w:color w:val="000000" w:themeColor="text1"/>
                <w:lang w:eastAsia="zh-CN"/>
                <w14:textFill>
                  <w14:solidFill>
                    <w14:schemeClr w14:val="tx1"/>
                  </w14:solidFill>
                </w14:textFill>
              </w:rPr>
              <w:t>储存在硫酸罐区，各自分开储存。</w:t>
            </w:r>
          </w:p>
        </w:tc>
        <w:tc>
          <w:tcPr>
            <w:tcW w:w="694" w:type="dxa"/>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kern w:val="0"/>
                <w:sz w:val="21"/>
                <w:szCs w:val="21"/>
              </w:rPr>
            </w:pPr>
          </w:p>
        </w:tc>
        <w:tc>
          <w:tcPr>
            <w:tcW w:w="3425" w:type="dxa"/>
            <w:noWrap w:val="0"/>
            <w:vAlign w:val="center"/>
          </w:tcPr>
          <w:p>
            <w:pPr>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甲、乙、丙类液体的地上式、半地下式储罐或储罐组，其四周应设置不燃性防火堤。防火堤的设计高度应比计算高度高出0.2m，且应为1.0m～2.2m，在防火堤的适当位置应设置便于灭火救援人员进出防火堤的踏步。</w:t>
            </w:r>
          </w:p>
        </w:tc>
        <w:tc>
          <w:tcPr>
            <w:tcW w:w="2288" w:type="dxa"/>
            <w:noWrap w:val="0"/>
            <w:vAlign w:val="center"/>
          </w:tcPr>
          <w:p>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kern w:val="0"/>
                <w:sz w:val="21"/>
                <w:szCs w:val="21"/>
              </w:rPr>
              <w:t>第4.2.5条</w:t>
            </w:r>
          </w:p>
        </w:tc>
        <w:tc>
          <w:tcPr>
            <w:tcW w:w="2325" w:type="dxa"/>
            <w:noWrap w:val="0"/>
            <w:vAlign w:val="center"/>
          </w:tcPr>
          <w:p>
            <w:pPr>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糠醛</w:t>
            </w:r>
            <w:r>
              <w:rPr>
                <w:rFonts w:hint="eastAsia" w:cs="Times New Roman"/>
                <w:sz w:val="21"/>
                <w:szCs w:val="21"/>
                <w:lang w:eastAsia="zh-CN"/>
              </w:rPr>
              <w:t>成品罐区四周设有防火提，防火提高度满足要求</w:t>
            </w:r>
            <w:r>
              <w:rPr>
                <w:rFonts w:hint="default" w:ascii="Times New Roman" w:hAnsi="Times New Roman" w:eastAsia="宋体" w:cs="Times New Roman"/>
                <w:sz w:val="21"/>
                <w:szCs w:val="21"/>
              </w:rPr>
              <w:t>。</w:t>
            </w:r>
          </w:p>
        </w:tc>
        <w:tc>
          <w:tcPr>
            <w:tcW w:w="694"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color w:val="FF0000"/>
                <w:kern w:val="0"/>
                <w:sz w:val="21"/>
                <w:szCs w:val="21"/>
              </w:rPr>
            </w:pPr>
          </w:p>
        </w:tc>
        <w:tc>
          <w:tcPr>
            <w:tcW w:w="3425" w:type="dxa"/>
            <w:noWrap w:val="0"/>
            <w:vAlign w:val="center"/>
          </w:tcPr>
          <w:p>
            <w:pPr>
              <w:spacing w:line="240" w:lineRule="auto"/>
              <w:jc w:val="both"/>
              <w:rPr>
                <w:rFonts w:hint="default" w:ascii="Times New Roman" w:hAnsi="Times New Roman" w:eastAsia="宋体" w:cs="Times New Roman"/>
                <w:color w:val="FF0000"/>
                <w:kern w:val="2"/>
                <w:sz w:val="21"/>
                <w:szCs w:val="21"/>
                <w:lang w:val="en-US" w:eastAsia="zh-CN" w:bidi="ar-SA"/>
              </w:rPr>
            </w:pPr>
            <w:r>
              <w:rPr>
                <w:rFonts w:ascii="宋体" w:hAnsi="宋体" w:eastAsia="宋体" w:cs="宋体"/>
                <w:b w:val="0"/>
                <w:bCs w:val="0"/>
                <w:i w:val="0"/>
                <w:iCs w:val="0"/>
                <w:color w:val="FF0000"/>
                <w:sz w:val="20"/>
                <w:szCs w:val="20"/>
              </w:rPr>
              <w:t>防火堤、防护墙应采用不燃烧材料建造，且必须密实、闭合、不泄漏</w:t>
            </w:r>
            <w:r>
              <w:rPr>
                <w:rFonts w:hint="eastAsia" w:ascii="宋体" w:hAnsi="宋体" w:eastAsia="宋体" w:cs="宋体"/>
                <w:b w:val="0"/>
                <w:bCs w:val="0"/>
                <w:i w:val="0"/>
                <w:iCs w:val="0"/>
                <w:color w:val="FF0000"/>
                <w:sz w:val="20"/>
                <w:szCs w:val="20"/>
                <w:lang w:eastAsia="zh-CN"/>
              </w:rPr>
              <w:t>。</w:t>
            </w:r>
            <w:r>
              <w:rPr>
                <w:rFonts w:ascii="宋体" w:hAnsi="宋体" w:eastAsia="宋体" w:cs="宋体"/>
                <w:color w:val="FF0000"/>
                <w:sz w:val="24"/>
                <w:szCs w:val="24"/>
              </w:rPr>
              <w:t xml:space="preserve"> </w:t>
            </w:r>
          </w:p>
        </w:tc>
        <w:tc>
          <w:tcPr>
            <w:tcW w:w="228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《储罐区防火堤设计规范》（GB 50351-</w:t>
            </w:r>
          </w:p>
          <w:p>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2014）</w:t>
            </w:r>
            <w:r>
              <w:rPr>
                <w:rFonts w:hint="eastAsia" w:cs="Times New Roman"/>
                <w:color w:val="FF0000"/>
                <w:kern w:val="2"/>
                <w:sz w:val="21"/>
                <w:szCs w:val="21"/>
                <w:lang w:val="en-US" w:eastAsia="zh-CN" w:bidi="ar-SA"/>
              </w:rPr>
              <w:t>第3.1.2条</w:t>
            </w:r>
          </w:p>
        </w:tc>
        <w:tc>
          <w:tcPr>
            <w:tcW w:w="2325" w:type="dxa"/>
            <w:noWrap w:val="0"/>
            <w:vAlign w:val="center"/>
          </w:tcPr>
          <w:p>
            <w:pPr>
              <w:pStyle w:val="21"/>
              <w:rPr>
                <w:rFonts w:hint="default" w:ascii="宋体" w:hAnsi="Courier New" w:eastAsia="宋体" w:cs="Times New Roman"/>
                <w:color w:val="FF0000"/>
                <w:kern w:val="2"/>
                <w:sz w:val="21"/>
                <w:szCs w:val="21"/>
                <w:lang w:val="en-US" w:eastAsia="zh-CN" w:bidi="ar-SA"/>
              </w:rPr>
            </w:pPr>
            <w:r>
              <w:rPr>
                <w:rFonts w:ascii="宋体" w:hAnsi="宋体" w:eastAsia="宋体" w:cs="宋体"/>
                <w:b w:val="0"/>
                <w:bCs w:val="0"/>
                <w:i w:val="0"/>
                <w:iCs w:val="0"/>
                <w:color w:val="FF0000"/>
                <w:sz w:val="20"/>
                <w:szCs w:val="20"/>
              </w:rPr>
              <w:t>防火堤、采用不燃烧材料建造，且密实、闭合、不泄漏</w:t>
            </w:r>
            <w:r>
              <w:rPr>
                <w:rFonts w:hint="eastAsia" w:cs="Times New Roman"/>
                <w:color w:val="FF0000"/>
                <w:sz w:val="21"/>
                <w:szCs w:val="21"/>
                <w:lang w:eastAsia="zh-CN"/>
              </w:rPr>
              <w:t>。</w:t>
            </w:r>
          </w:p>
        </w:tc>
        <w:tc>
          <w:tcPr>
            <w:tcW w:w="694"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color w:val="FF0000"/>
                <w:kern w:val="0"/>
                <w:sz w:val="21"/>
                <w:szCs w:val="21"/>
              </w:rPr>
            </w:pPr>
          </w:p>
        </w:tc>
        <w:tc>
          <w:tcPr>
            <w:tcW w:w="3425" w:type="dxa"/>
            <w:noWrap w:val="0"/>
            <w:vAlign w:val="center"/>
          </w:tcPr>
          <w:p>
            <w:pPr>
              <w:spacing w:line="240" w:lineRule="auto"/>
              <w:jc w:val="both"/>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每一储罐组的防火堤，应设置不少于2处越堤人行踏步或坡道，并应设置在不同方位上。隔堤、隔墙应设置人行踏步或坡道</w:t>
            </w:r>
            <w:r>
              <w:rPr>
                <w:rFonts w:hint="eastAsia" w:ascii="Times New Roman" w:hAnsi="Times New Roman" w:eastAsia="宋体" w:cs="Times New Roman"/>
                <w:color w:val="FF0000"/>
                <w:sz w:val="21"/>
                <w:szCs w:val="21"/>
                <w:lang w:eastAsia="zh-CN"/>
              </w:rPr>
              <w:t>。</w:t>
            </w:r>
          </w:p>
        </w:tc>
        <w:tc>
          <w:tcPr>
            <w:tcW w:w="228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《储罐区防火堤设计规范》（GB 50351-</w:t>
            </w:r>
          </w:p>
          <w:p>
            <w:pPr>
              <w:spacing w:line="240" w:lineRule="auto"/>
              <w:jc w:val="center"/>
              <w:rPr>
                <w:rFonts w:hint="eastAsia" w:ascii="Times New Roman" w:hAnsi="Times New Roman" w:eastAsia="宋体" w:cs="Times New Roman"/>
                <w:bCs/>
                <w:snapToGrid/>
                <w:color w:val="FF0000"/>
                <w:w w:val="100"/>
                <w:kern w:val="28"/>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2014）</w:t>
            </w:r>
            <w:r>
              <w:rPr>
                <w:rFonts w:hint="default" w:ascii="Times New Roman" w:hAnsi="Times New Roman" w:eastAsia="宋体" w:cs="Times New Roman"/>
                <w:bCs/>
                <w:snapToGrid/>
                <w:color w:val="FF0000"/>
                <w:w w:val="100"/>
                <w:kern w:val="28"/>
                <w:sz w:val="21"/>
                <w:szCs w:val="21"/>
                <w:lang w:val="en-US" w:eastAsia="zh-CN" w:bidi="ar-SA"/>
              </w:rPr>
              <w:t>第3.1.7条</w:t>
            </w:r>
          </w:p>
        </w:tc>
        <w:tc>
          <w:tcPr>
            <w:tcW w:w="2325" w:type="dxa"/>
            <w:noWrap w:val="0"/>
            <w:vAlign w:val="center"/>
          </w:tcPr>
          <w:p>
            <w:pPr>
              <w:spacing w:line="240" w:lineRule="auto"/>
              <w:jc w:val="both"/>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储罐区</w:t>
            </w:r>
            <w:r>
              <w:rPr>
                <w:rFonts w:hint="eastAsia" w:ascii="Times New Roman" w:hAnsi="Times New Roman" w:eastAsia="宋体" w:cs="Times New Roman"/>
                <w:color w:val="FF0000"/>
                <w:sz w:val="21"/>
                <w:szCs w:val="21"/>
                <w:lang w:val="en-US" w:eastAsia="zh-CN"/>
              </w:rPr>
              <w:t>设有</w:t>
            </w:r>
            <w:r>
              <w:rPr>
                <w:rFonts w:hint="default" w:ascii="Times New Roman" w:hAnsi="Times New Roman" w:eastAsia="宋体" w:cs="Times New Roman"/>
                <w:color w:val="FF0000"/>
                <w:sz w:val="21"/>
                <w:szCs w:val="21"/>
              </w:rPr>
              <w:t>越堤人行踏步</w:t>
            </w:r>
          </w:p>
        </w:tc>
        <w:tc>
          <w:tcPr>
            <w:tcW w:w="694" w:type="dxa"/>
            <w:noWrap w:val="0"/>
            <w:vAlign w:val="center"/>
          </w:tcPr>
          <w:p>
            <w:pPr>
              <w:spacing w:line="240" w:lineRule="auto"/>
              <w:jc w:val="center"/>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color w:val="FF0000"/>
                <w:kern w:val="0"/>
                <w:sz w:val="21"/>
                <w:szCs w:val="21"/>
              </w:rPr>
            </w:pPr>
          </w:p>
        </w:tc>
        <w:tc>
          <w:tcPr>
            <w:tcW w:w="3425" w:type="dxa"/>
            <w:noWrap w:val="0"/>
            <w:vAlign w:val="center"/>
          </w:tcPr>
          <w:p>
            <w:pPr>
              <w:spacing w:line="240" w:lineRule="auto"/>
              <w:jc w:val="both"/>
              <w:rPr>
                <w:rFonts w:hint="eastAsia"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储存硫酸的储罐组内的地面和防火堤堤身内侧应做防腐蚀处理</w:t>
            </w:r>
            <w:r>
              <w:rPr>
                <w:rFonts w:hint="eastAsia" w:ascii="Times New Roman" w:hAnsi="Times New Roman" w:eastAsia="宋体" w:cs="Times New Roman"/>
                <w:color w:val="FF0000"/>
                <w:sz w:val="21"/>
                <w:szCs w:val="21"/>
                <w:lang w:eastAsia="zh-CN"/>
              </w:rPr>
              <w:t>。</w:t>
            </w:r>
          </w:p>
        </w:tc>
        <w:tc>
          <w:tcPr>
            <w:tcW w:w="2288"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《储罐区防火堤设计规范》（GB 50351-</w:t>
            </w:r>
          </w:p>
          <w:p>
            <w:pPr>
              <w:spacing w:line="240" w:lineRule="auto"/>
              <w:jc w:val="center"/>
              <w:rPr>
                <w:rFonts w:hint="eastAsia" w:ascii="Times New Roman" w:hAnsi="Times New Roman" w:eastAsia="宋体" w:cs="Times New Roman"/>
                <w:bCs/>
                <w:snapToGrid/>
                <w:color w:val="FF0000"/>
                <w:w w:val="100"/>
                <w:kern w:val="28"/>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2014）</w:t>
            </w:r>
            <w:r>
              <w:rPr>
                <w:rFonts w:hint="default" w:ascii="Times New Roman" w:hAnsi="Times New Roman" w:eastAsia="宋体" w:cs="Times New Roman"/>
                <w:bCs/>
                <w:snapToGrid/>
                <w:color w:val="FF0000"/>
                <w:w w:val="100"/>
                <w:kern w:val="28"/>
                <w:sz w:val="21"/>
                <w:szCs w:val="21"/>
                <w:lang w:val="en-US" w:eastAsia="zh-CN" w:bidi="ar-SA"/>
              </w:rPr>
              <w:t>第4.2.2条</w:t>
            </w:r>
          </w:p>
        </w:tc>
        <w:tc>
          <w:tcPr>
            <w:tcW w:w="2325" w:type="dxa"/>
            <w:noWrap w:val="0"/>
            <w:vAlign w:val="center"/>
          </w:tcPr>
          <w:p>
            <w:pPr>
              <w:spacing w:line="240" w:lineRule="auto"/>
              <w:jc w:val="both"/>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罐区</w:t>
            </w:r>
            <w:r>
              <w:rPr>
                <w:rFonts w:hint="default" w:ascii="Times New Roman" w:hAnsi="Times New Roman" w:eastAsia="宋体" w:cs="Times New Roman"/>
                <w:color w:val="FF0000"/>
                <w:sz w:val="21"/>
                <w:szCs w:val="21"/>
                <w:lang w:eastAsia="zh-CN"/>
              </w:rPr>
              <w:t>组内</w:t>
            </w:r>
            <w:r>
              <w:rPr>
                <w:rFonts w:hint="default" w:ascii="Times New Roman" w:hAnsi="Times New Roman" w:eastAsia="宋体" w:cs="Times New Roman"/>
                <w:color w:val="FF0000"/>
                <w:sz w:val="21"/>
                <w:szCs w:val="21"/>
              </w:rPr>
              <w:t>地面</w:t>
            </w:r>
            <w:r>
              <w:rPr>
                <w:rFonts w:hint="eastAsia" w:ascii="Times New Roman" w:hAnsi="Times New Roman" w:eastAsia="宋体" w:cs="Times New Roman"/>
                <w:color w:val="FF0000"/>
                <w:sz w:val="21"/>
                <w:szCs w:val="21"/>
                <w:lang w:val="en-US" w:eastAsia="zh-CN"/>
              </w:rPr>
              <w:t>及</w:t>
            </w:r>
            <w:r>
              <w:rPr>
                <w:rFonts w:hint="default" w:ascii="Times New Roman" w:hAnsi="Times New Roman" w:eastAsia="宋体" w:cs="Times New Roman"/>
                <w:color w:val="FF0000"/>
                <w:sz w:val="21"/>
                <w:szCs w:val="21"/>
              </w:rPr>
              <w:t>防火堤堤身内侧已做防腐</w:t>
            </w:r>
          </w:p>
        </w:tc>
        <w:tc>
          <w:tcPr>
            <w:tcW w:w="694" w:type="dxa"/>
            <w:noWrap w:val="0"/>
            <w:vAlign w:val="center"/>
          </w:tcPr>
          <w:p>
            <w:pPr>
              <w:spacing w:line="240" w:lineRule="auto"/>
              <w:jc w:val="center"/>
              <w:rPr>
                <w:rFonts w:hint="eastAsia" w:ascii="Times New Roman" w:hAnsi="Times New Roman" w:eastAsia="宋体" w:cs="Times New Roman"/>
                <w:color w:val="FF0000"/>
                <w:kern w:val="2"/>
                <w:sz w:val="21"/>
                <w:szCs w:val="21"/>
                <w:lang w:val="en-US" w:eastAsia="zh-CN" w:bidi="ar-SA"/>
              </w:rPr>
            </w:pPr>
            <w:r>
              <w:rPr>
                <w:rFonts w:hint="eastAsia" w:cs="Times New Roman"/>
                <w:color w:val="FF0000"/>
                <w:kern w:val="2"/>
                <w:sz w:val="21"/>
                <w:szCs w:val="21"/>
                <w:lang w:val="en-US" w:eastAsia="zh-CN" w:bidi="ar-SA"/>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kern w:val="0"/>
                <w:sz w:val="21"/>
                <w:szCs w:val="21"/>
              </w:rPr>
            </w:pPr>
          </w:p>
        </w:tc>
        <w:tc>
          <w:tcPr>
            <w:tcW w:w="3425" w:type="dxa"/>
            <w:noWrap w:val="0"/>
            <w:vAlign w:val="center"/>
          </w:tcPr>
          <w:p>
            <w:pPr>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含油污水排水管应在防火堤的出口处设置水封设施，雨水排水管应设置阀门等封闭、隔离装置。</w:t>
            </w:r>
          </w:p>
        </w:tc>
        <w:tc>
          <w:tcPr>
            <w:tcW w:w="2288" w:type="dxa"/>
            <w:noWrap w:val="0"/>
            <w:vAlign w:val="center"/>
          </w:tcPr>
          <w:p>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kern w:val="0"/>
                <w:sz w:val="21"/>
                <w:szCs w:val="21"/>
              </w:rPr>
              <w:t xml:space="preserve"> 第4.2.5条</w:t>
            </w:r>
          </w:p>
        </w:tc>
        <w:tc>
          <w:tcPr>
            <w:tcW w:w="2325" w:type="dxa"/>
            <w:noWrap w:val="0"/>
            <w:vAlign w:val="center"/>
          </w:tcPr>
          <w:p>
            <w:pPr>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含油污水排水管在防火堤的出口处设置水封设施，雨水排水管设置阀门等封闭、隔离装置。</w:t>
            </w:r>
          </w:p>
        </w:tc>
        <w:tc>
          <w:tcPr>
            <w:tcW w:w="694"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kern w:val="0"/>
                <w:sz w:val="21"/>
                <w:szCs w:val="21"/>
              </w:rPr>
            </w:pPr>
          </w:p>
        </w:tc>
        <w:tc>
          <w:tcPr>
            <w:tcW w:w="3425" w:type="dxa"/>
            <w:noWrap w:val="0"/>
            <w:vAlign w:val="center"/>
          </w:tcPr>
          <w:p>
            <w:pPr>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凡在开停工、检修过程中，可能有可燃液体泄漏、漫流的设备区周围应设置不低于150mm的围堰和导液设施。</w:t>
            </w:r>
          </w:p>
        </w:tc>
        <w:tc>
          <w:tcPr>
            <w:tcW w:w="2288"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《石油化工企业设计防火标准》</w:t>
            </w:r>
            <w:r>
              <w:rPr>
                <w:rFonts w:hint="eastAsia" w:cs="Times New Roman"/>
                <w:sz w:val="21"/>
                <w:szCs w:val="21"/>
                <w:lang w:eastAsia="zh-CN"/>
              </w:rPr>
              <w:t>（</w:t>
            </w:r>
            <w:r>
              <w:rPr>
                <w:rFonts w:hint="default" w:ascii="Times New Roman" w:hAnsi="Times New Roman" w:eastAsia="宋体" w:cs="Times New Roman"/>
                <w:sz w:val="21"/>
                <w:szCs w:val="21"/>
              </w:rPr>
              <w:t>GB 50160-2008</w:t>
            </w:r>
            <w:r>
              <w:rPr>
                <w:rFonts w:hint="default" w:ascii="Times New Roman" w:hAnsi="Times New Roman" w:eastAsia="宋体" w:cs="Times New Roman"/>
                <w:bCs/>
                <w:snapToGrid/>
                <w:color w:val="000000"/>
                <w:w w:val="100"/>
                <w:kern w:val="28"/>
                <w:sz w:val="21"/>
                <w:szCs w:val="21"/>
                <w:lang w:val="en-US" w:eastAsia="zh-CN" w:bidi="ar-SA"/>
              </w:rPr>
              <w:t>[2018年版]</w:t>
            </w:r>
            <w:r>
              <w:rPr>
                <w:rFonts w:hint="eastAsia" w:cs="Times New Roman"/>
                <w:sz w:val="21"/>
                <w:szCs w:val="21"/>
                <w:lang w:eastAsia="zh-CN"/>
              </w:rPr>
              <w:t>）</w:t>
            </w:r>
            <w:r>
              <w:rPr>
                <w:rFonts w:hint="default" w:ascii="Times New Roman" w:hAnsi="Times New Roman" w:eastAsia="宋体" w:cs="Times New Roman"/>
                <w:sz w:val="21"/>
                <w:szCs w:val="21"/>
              </w:rPr>
              <w:t>第5.2.</w:t>
            </w:r>
            <w:r>
              <w:rPr>
                <w:rFonts w:hint="default" w:ascii="Times New Roman" w:hAnsi="Times New Roman" w:eastAsia="宋体" w:cs="Times New Roman"/>
                <w:kern w:val="0"/>
                <w:sz w:val="21"/>
                <w:szCs w:val="21"/>
              </w:rPr>
              <w:t>28条</w:t>
            </w:r>
          </w:p>
        </w:tc>
        <w:tc>
          <w:tcPr>
            <w:tcW w:w="2325" w:type="dxa"/>
            <w:noWrap w:val="0"/>
            <w:vAlign w:val="center"/>
          </w:tcPr>
          <w:p>
            <w:pPr>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糠醛装车泵</w:t>
            </w:r>
            <w:r>
              <w:rPr>
                <w:rFonts w:hint="eastAsia" w:cs="Times New Roman"/>
                <w:sz w:val="21"/>
                <w:szCs w:val="21"/>
                <w:lang w:eastAsia="zh-CN"/>
              </w:rPr>
              <w:t>设有</w:t>
            </w:r>
            <w:r>
              <w:rPr>
                <w:rFonts w:hint="default" w:ascii="Times New Roman" w:hAnsi="Times New Roman" w:eastAsia="宋体" w:cs="Times New Roman"/>
                <w:sz w:val="21"/>
                <w:szCs w:val="21"/>
              </w:rPr>
              <w:t>围堰。</w:t>
            </w:r>
          </w:p>
        </w:tc>
        <w:tc>
          <w:tcPr>
            <w:tcW w:w="694"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kern w:val="0"/>
                <w:sz w:val="21"/>
                <w:szCs w:val="21"/>
              </w:rPr>
            </w:pPr>
          </w:p>
        </w:tc>
        <w:tc>
          <w:tcPr>
            <w:tcW w:w="3425" w:type="dxa"/>
            <w:noWrap w:val="0"/>
            <w:vAlign w:val="center"/>
          </w:tcPr>
          <w:p>
            <w:pPr>
              <w:pStyle w:val="74"/>
              <w:spacing w:line="240" w:lineRule="auto"/>
              <w:ind w:right="97"/>
              <w:jc w:val="both"/>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火灾危险性为丙类的物料堆场可沿两个长边设置消防道路。</w:t>
            </w:r>
          </w:p>
        </w:tc>
        <w:tc>
          <w:tcPr>
            <w:tcW w:w="2288" w:type="dxa"/>
            <w:noWrap w:val="0"/>
            <w:vAlign w:val="center"/>
          </w:tcPr>
          <w:p>
            <w:pPr>
              <w:pStyle w:val="74"/>
              <w:spacing w:line="240" w:lineRule="auto"/>
              <w:ind w:right="96"/>
              <w:jc w:val="center"/>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w:t>
            </w:r>
            <w:r>
              <w:rPr>
                <w:rFonts w:hint="eastAsia" w:ascii="Times New Roman" w:hAnsi="Times New Roman" w:cs="Times New Roman"/>
                <w:sz w:val="21"/>
                <w:szCs w:val="21"/>
                <w:lang w:val="en-US" w:eastAsia="zh-CN" w:bidi="ar-SA"/>
              </w:rPr>
              <w:t>石油化工全厂性仓库及堆场设计规范</w:t>
            </w:r>
            <w:r>
              <w:rPr>
                <w:rFonts w:hint="default" w:ascii="Times New Roman" w:hAnsi="Times New Roman" w:eastAsia="宋体" w:cs="Times New Roman"/>
                <w:sz w:val="21"/>
                <w:szCs w:val="21"/>
                <w:lang w:val="en-US" w:bidi="ar-SA"/>
              </w:rPr>
              <w:fldChar w:fldCharType="begin"/>
            </w:r>
            <w:r>
              <w:rPr>
                <w:rFonts w:hint="default" w:ascii="Times New Roman" w:hAnsi="Times New Roman" w:eastAsia="宋体" w:cs="Times New Roman"/>
                <w:sz w:val="21"/>
                <w:szCs w:val="21"/>
                <w:lang w:val="en-US" w:bidi="ar-SA"/>
              </w:rPr>
              <w:instrText xml:space="preserve"> HYPERLINK "http://www.jianbiaoku.com/webarbs/book/13168/324832.shtml" \t "http://www.jianbiaoku.com/webarbs/book/13168/_self" </w:instrText>
            </w:r>
            <w:r>
              <w:rPr>
                <w:rFonts w:hint="default" w:ascii="Times New Roman" w:hAnsi="Times New Roman" w:eastAsia="宋体" w:cs="Times New Roman"/>
                <w:sz w:val="21"/>
                <w:szCs w:val="21"/>
                <w:lang w:val="en-US" w:bidi="ar-SA"/>
              </w:rPr>
              <w:fldChar w:fldCharType="separate"/>
            </w:r>
            <w:r>
              <w:rPr>
                <w:rFonts w:hint="default" w:ascii="Times New Roman" w:hAnsi="Times New Roman" w:eastAsia="宋体" w:cs="Times New Roman"/>
                <w:sz w:val="21"/>
                <w:szCs w:val="21"/>
                <w:lang w:val="en-US" w:bidi="ar-SA"/>
              </w:rPr>
              <w:t>》（GB50475-2008</w:t>
            </w:r>
            <w:r>
              <w:rPr>
                <w:rFonts w:hint="default" w:ascii="Times New Roman" w:hAnsi="Times New Roman" w:eastAsia="宋体" w:cs="Times New Roman"/>
                <w:sz w:val="21"/>
                <w:szCs w:val="21"/>
                <w:lang w:val="en-US" w:bidi="ar-SA"/>
              </w:rPr>
              <w:fldChar w:fldCharType="end"/>
            </w:r>
            <w:r>
              <w:rPr>
                <w:rFonts w:hint="default" w:ascii="Times New Roman" w:hAnsi="Times New Roman" w:eastAsia="宋体" w:cs="Times New Roman"/>
                <w:sz w:val="21"/>
                <w:szCs w:val="21"/>
                <w:lang w:val="en-US" w:bidi="ar-SA"/>
              </w:rPr>
              <w:t>）第4.3.4条</w:t>
            </w:r>
          </w:p>
        </w:tc>
        <w:tc>
          <w:tcPr>
            <w:tcW w:w="2325" w:type="dxa"/>
            <w:noWrap w:val="0"/>
            <w:vAlign w:val="center"/>
          </w:tcPr>
          <w:p>
            <w:pPr>
              <w:pStyle w:val="74"/>
              <w:spacing w:line="240" w:lineRule="auto"/>
              <w:jc w:val="both"/>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玉米芯物料堆场设有环形消防通道。</w:t>
            </w:r>
          </w:p>
        </w:tc>
        <w:tc>
          <w:tcPr>
            <w:tcW w:w="694"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kern w:val="0"/>
                <w:sz w:val="21"/>
                <w:szCs w:val="21"/>
              </w:rPr>
            </w:pPr>
          </w:p>
        </w:tc>
        <w:tc>
          <w:tcPr>
            <w:tcW w:w="3425" w:type="dxa"/>
            <w:noWrap w:val="0"/>
            <w:vAlign w:val="center"/>
          </w:tcPr>
          <w:p>
            <w:pPr>
              <w:pStyle w:val="74"/>
              <w:spacing w:line="240" w:lineRule="auto"/>
              <w:ind w:right="97"/>
              <w:jc w:val="both"/>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可燃物料堆场地下不应敷设电缆、采暖管道、可燃液体管道及气体管道。</w:t>
            </w:r>
          </w:p>
        </w:tc>
        <w:tc>
          <w:tcPr>
            <w:tcW w:w="2288" w:type="dxa"/>
            <w:noWrap w:val="0"/>
            <w:vAlign w:val="center"/>
          </w:tcPr>
          <w:p>
            <w:pPr>
              <w:pStyle w:val="74"/>
              <w:spacing w:line="240" w:lineRule="auto"/>
              <w:ind w:right="96"/>
              <w:jc w:val="center"/>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w:t>
            </w:r>
            <w:r>
              <w:rPr>
                <w:rFonts w:hint="eastAsia" w:ascii="Times New Roman" w:hAnsi="Times New Roman" w:cs="Times New Roman"/>
                <w:sz w:val="21"/>
                <w:szCs w:val="21"/>
                <w:lang w:val="en-US" w:eastAsia="zh-CN" w:bidi="ar-SA"/>
              </w:rPr>
              <w:t>石油化工全厂性仓库及堆场设计规范</w:t>
            </w:r>
            <w:r>
              <w:rPr>
                <w:rFonts w:hint="default" w:ascii="Times New Roman" w:hAnsi="Times New Roman" w:eastAsia="宋体" w:cs="Times New Roman"/>
                <w:sz w:val="21"/>
                <w:szCs w:val="21"/>
                <w:lang w:val="en-US" w:bidi="ar-SA"/>
              </w:rPr>
              <w:fldChar w:fldCharType="begin"/>
            </w:r>
            <w:r>
              <w:rPr>
                <w:rFonts w:hint="default" w:ascii="Times New Roman" w:hAnsi="Times New Roman" w:eastAsia="宋体" w:cs="Times New Roman"/>
                <w:sz w:val="21"/>
                <w:szCs w:val="21"/>
                <w:lang w:val="en-US" w:bidi="ar-SA"/>
              </w:rPr>
              <w:instrText xml:space="preserve"> HYPERLINK "http://www.jianbiaoku.com/webarbs/book/13168/324832.shtml" \t "http://www.jianbiaoku.com/webarbs/book/13168/_self" </w:instrText>
            </w:r>
            <w:r>
              <w:rPr>
                <w:rFonts w:hint="default" w:ascii="Times New Roman" w:hAnsi="Times New Roman" w:eastAsia="宋体" w:cs="Times New Roman"/>
                <w:sz w:val="21"/>
                <w:szCs w:val="21"/>
                <w:lang w:val="en-US" w:bidi="ar-SA"/>
              </w:rPr>
              <w:fldChar w:fldCharType="separate"/>
            </w:r>
            <w:r>
              <w:rPr>
                <w:rFonts w:hint="default" w:ascii="Times New Roman" w:hAnsi="Times New Roman" w:eastAsia="宋体" w:cs="Times New Roman"/>
                <w:sz w:val="21"/>
                <w:szCs w:val="21"/>
                <w:lang w:val="en-US" w:bidi="ar-SA"/>
              </w:rPr>
              <w:t>》（GB50475-2008</w:t>
            </w:r>
            <w:r>
              <w:rPr>
                <w:rFonts w:hint="default" w:ascii="Times New Roman" w:hAnsi="Times New Roman" w:eastAsia="宋体" w:cs="Times New Roman"/>
                <w:sz w:val="21"/>
                <w:szCs w:val="21"/>
                <w:lang w:val="en-US" w:bidi="ar-SA"/>
              </w:rPr>
              <w:fldChar w:fldCharType="end"/>
            </w:r>
            <w:r>
              <w:rPr>
                <w:rFonts w:hint="default" w:ascii="Times New Roman" w:hAnsi="Times New Roman" w:eastAsia="宋体" w:cs="Times New Roman"/>
                <w:sz w:val="21"/>
                <w:szCs w:val="21"/>
                <w:lang w:val="en-US" w:bidi="ar-SA"/>
              </w:rPr>
              <w:t>）第8.1.6条</w:t>
            </w:r>
          </w:p>
        </w:tc>
        <w:tc>
          <w:tcPr>
            <w:tcW w:w="2325" w:type="dxa"/>
            <w:noWrap w:val="0"/>
            <w:vAlign w:val="center"/>
          </w:tcPr>
          <w:p>
            <w:pPr>
              <w:pStyle w:val="74"/>
              <w:spacing w:line="240" w:lineRule="auto"/>
              <w:jc w:val="both"/>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玉米芯物料堆场地下未敷设电缆、采暖管道、可燃液体管道及气体管道。</w:t>
            </w:r>
          </w:p>
        </w:tc>
        <w:tc>
          <w:tcPr>
            <w:tcW w:w="694" w:type="dxa"/>
            <w:noWrap w:val="0"/>
            <w:vAlign w:val="center"/>
          </w:tcPr>
          <w:p>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3425"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库存物品应当分类、分垛储存，每垛占地面积不宜大于100m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，垛与垛间距不小于1m，垛与墙间距不小于0.5m，垛与梁、柱间距不小于0.3m，主要通道的宽度不小于2m。</w:t>
            </w:r>
          </w:p>
        </w:tc>
        <w:tc>
          <w:tcPr>
            <w:tcW w:w="2288" w:type="dxa"/>
            <w:noWrap w:val="0"/>
            <w:vAlign w:val="center"/>
          </w:tcPr>
          <w:p>
            <w:pPr>
              <w:spacing w:line="240" w:lineRule="auto"/>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《仓库防火安全管理规则》</w:t>
            </w: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第十八条</w:t>
            </w:r>
          </w:p>
        </w:tc>
        <w:tc>
          <w:tcPr>
            <w:tcW w:w="2325"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危废暂存间</w:t>
            </w:r>
            <w:r>
              <w:rPr>
                <w:rFonts w:hint="default" w:ascii="Times New Roman" w:hAnsi="Times New Roman" w:eastAsia="宋体" w:cs="Times New Roman"/>
                <w:color w:val="000000" w:themeColor="text1"/>
                <w:sz w:val="21"/>
                <w:szCs w:val="21"/>
                <w:lang w:eastAsia="zh-CN"/>
                <w14:textFill>
                  <w14:solidFill>
                    <w14:schemeClr w14:val="tx1"/>
                  </w14:solidFill>
                </w14:textFill>
              </w:rPr>
              <w:t>物品堆放满足要求</w:t>
            </w:r>
          </w:p>
        </w:tc>
        <w:tc>
          <w:tcPr>
            <w:tcW w:w="694" w:type="dxa"/>
            <w:noWrap w:val="0"/>
            <w:vAlign w:val="center"/>
          </w:tcPr>
          <w:p>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576" w:type="dxa"/>
            <w:noWrap w:val="0"/>
            <w:vAlign w:val="center"/>
          </w:tcPr>
          <w:p>
            <w:pPr>
              <w:numPr>
                <w:ilvl w:val="0"/>
                <w:numId w:val="23"/>
              </w:numPr>
              <w:spacing w:line="240" w:lineRule="auto"/>
              <w:ind w:left="425" w:leftChars="0" w:right="-63" w:rightChars="-30" w:hanging="343" w:firstLine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3425" w:type="dxa"/>
            <w:noWrap w:val="0"/>
            <w:vAlign w:val="center"/>
          </w:tcPr>
          <w:p>
            <w:pPr>
              <w:spacing w:line="240" w:lineRule="auto"/>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库房</w:t>
            </w:r>
            <w:r>
              <w:rPr>
                <w:rFonts w:hint="default" w:ascii="Times New Roman" w:hAnsi="Times New Roman" w:eastAsia="宋体" w:cs="Times New Roman"/>
                <w:bCs/>
                <w:color w:val="000000" w:themeColor="text1"/>
                <w:sz w:val="21"/>
                <w:szCs w:val="21"/>
                <w:lang w:eastAsia="zh-CN"/>
                <w14:textFill>
                  <w14:solidFill>
                    <w14:schemeClr w14:val="tx1"/>
                  </w14:solidFill>
                </w14:textFill>
              </w:rPr>
              <w:t>应</w:t>
            </w:r>
            <w:r>
              <w:rPr>
                <w:rFonts w:hint="default" w:ascii="Times New Roman" w:hAnsi="Times New Roman" w:eastAsia="宋体" w:cs="Times New Roman"/>
                <w:color w:val="000000" w:themeColor="text1"/>
                <w:sz w:val="21"/>
                <w:szCs w:val="21"/>
                <w14:textFill>
                  <w14:solidFill>
                    <w14:schemeClr w14:val="tx1"/>
                  </w14:solidFill>
                </w14:textFill>
              </w:rPr>
              <w:t>按照国家有关消防技术规范，设置、配备消防设施和器材</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2288" w:type="dxa"/>
            <w:noWrap w:val="0"/>
            <w:vAlign w:val="center"/>
          </w:tcPr>
          <w:p>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《仓库防火安全管理规则》第五十一条</w:t>
            </w:r>
          </w:p>
        </w:tc>
        <w:tc>
          <w:tcPr>
            <w:tcW w:w="2325" w:type="dxa"/>
            <w:noWrap w:val="0"/>
            <w:vAlign w:val="center"/>
          </w:tcPr>
          <w:p>
            <w:pPr>
              <w:spacing w:line="240" w:lineRule="auto"/>
              <w:jc w:val="both"/>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危废暂存间</w:t>
            </w:r>
            <w:r>
              <w:rPr>
                <w:rFonts w:hint="default" w:ascii="Times New Roman" w:hAnsi="Times New Roman" w:eastAsia="宋体" w:cs="Times New Roman"/>
                <w:bCs/>
                <w:color w:val="000000" w:themeColor="text1"/>
                <w:sz w:val="21"/>
                <w:szCs w:val="21"/>
                <w14:textFill>
                  <w14:solidFill>
                    <w14:schemeClr w14:val="tx1"/>
                  </w14:solidFill>
                </w14:textFill>
              </w:rPr>
              <w:t>配备了灭火器</w:t>
            </w:r>
            <w:r>
              <w:rPr>
                <w:rFonts w:hint="default" w:ascii="Times New Roman" w:hAnsi="Times New Roman" w:eastAsia="宋体" w:cs="Times New Roman"/>
                <w:bCs/>
                <w:color w:val="000000" w:themeColor="text1"/>
                <w:sz w:val="21"/>
                <w:szCs w:val="21"/>
                <w:lang w:eastAsia="zh-CN"/>
                <w14:textFill>
                  <w14:solidFill>
                    <w14:schemeClr w14:val="tx1"/>
                  </w14:solidFill>
                </w14:textFill>
              </w:rPr>
              <w:t>。</w:t>
            </w:r>
          </w:p>
        </w:tc>
        <w:tc>
          <w:tcPr>
            <w:tcW w:w="694" w:type="dxa"/>
            <w:noWrap w:val="0"/>
            <w:vAlign w:val="center"/>
          </w:tcPr>
          <w:p>
            <w:pPr>
              <w:spacing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符合</w:t>
            </w:r>
          </w:p>
        </w:tc>
      </w:tr>
    </w:tbl>
    <w:p>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Times New Roman" w:hAnsi="Times New Roman" w:eastAsia="宋体" w:cs="Times New Roman"/>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kern w:val="2"/>
          <w:sz w:val="28"/>
          <w:szCs w:val="28"/>
          <w:lang w:val="zh-CN" w:eastAsia="zh-CN" w:bidi="ar-SA"/>
        </w:rPr>
        <w:t>小结：</w:t>
      </w:r>
      <w:r>
        <w:rPr>
          <w:rFonts w:hint="eastAsia" w:cs="Times New Roman"/>
          <w:kern w:val="2"/>
          <w:sz w:val="28"/>
          <w:szCs w:val="28"/>
          <w:lang w:val="zh-CN" w:eastAsia="zh-CN" w:bidi="ar-SA"/>
        </w:rPr>
        <w:t>储存</w:t>
      </w:r>
      <w:r>
        <w:rPr>
          <w:rFonts w:hint="eastAsia" w:ascii="Times New Roman" w:hAnsi="Times New Roman" w:eastAsia="宋体" w:cs="Times New Roman"/>
          <w:kern w:val="2"/>
          <w:sz w:val="28"/>
          <w:szCs w:val="28"/>
          <w:lang w:val="zh-CN" w:eastAsia="zh-CN" w:bidi="ar-SA"/>
        </w:rPr>
        <w:t>单元共检查了</w:t>
      </w:r>
      <w:r>
        <w:rPr>
          <w:rFonts w:hint="eastAsia" w:cs="Times New Roman"/>
          <w:kern w:val="2"/>
          <w:sz w:val="28"/>
          <w:szCs w:val="28"/>
          <w:lang w:val="en-US" w:eastAsia="zh-CN" w:bidi="ar-SA"/>
        </w:rPr>
        <w:t>9</w:t>
      </w:r>
      <w:r>
        <w:rPr>
          <w:rFonts w:hint="eastAsia" w:ascii="Times New Roman" w:hAnsi="Times New Roman" w:eastAsia="宋体" w:cs="Times New Roman"/>
          <w:kern w:val="2"/>
          <w:sz w:val="28"/>
          <w:szCs w:val="28"/>
          <w:lang w:val="en-US" w:eastAsia="zh-CN" w:bidi="ar-SA"/>
        </w:rPr>
        <w:t>项，</w:t>
      </w:r>
      <w:r>
        <w:rPr>
          <w:rFonts w:hint="default" w:ascii="Times New Roman" w:hAnsi="Times New Roman" w:eastAsia="宋体" w:cs="Times New Roman"/>
          <w:kern w:val="2"/>
          <w:sz w:val="28"/>
          <w:szCs w:val="28"/>
          <w:lang w:val="zh-CN" w:eastAsia="zh-CN" w:bidi="ar-SA"/>
        </w:rPr>
        <w:t>均符合要求</w:t>
      </w:r>
      <w:r>
        <w:rPr>
          <w:rFonts w:hint="eastAsia" w:ascii="Times New Roman" w:hAnsi="Times New Roman" w:eastAsia="宋体" w:cs="Times New Roman"/>
          <w:color w:val="000000" w:themeColor="text1"/>
          <w:kern w:val="2"/>
          <w:sz w:val="28"/>
          <w:szCs w:val="28"/>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r>
        <w:rPr>
          <w:rFonts w:hint="eastAsia" w:cs="Times New Roman"/>
          <w:color w:val="000000"/>
          <w:kern w:val="2"/>
          <w:sz w:val="28"/>
          <w:szCs w:val="28"/>
          <w:lang w:val="en-US" w:eastAsia="zh-CN" w:bidi="ar-SA"/>
        </w:rPr>
        <w:t>（4）</w:t>
      </w:r>
      <w:r>
        <w:rPr>
          <w:rFonts w:hint="eastAsia" w:ascii="Times New Roman" w:hAnsi="Times New Roman" w:eastAsia="宋体" w:cs="Times New Roman"/>
          <w:color w:val="000000"/>
          <w:kern w:val="2"/>
          <w:sz w:val="28"/>
          <w:szCs w:val="28"/>
          <w:lang w:val="en-US" w:eastAsia="zh-CN" w:bidi="ar-SA"/>
        </w:rPr>
        <w:t>公辅设施单元安全检查表</w:t>
      </w:r>
      <w:bookmarkEnd w:id="356"/>
      <w:bookmarkEnd w:id="357"/>
      <w:bookmarkEnd w:id="358"/>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bookmarkStart w:id="359" w:name="_Toc18438_WPSOffice_Level1"/>
      <w:bookmarkStart w:id="360" w:name="_Toc18282_WPSOffice_Level1"/>
      <w:bookmarkStart w:id="361" w:name="_Toc5586_WPSOffice_Level2"/>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附表3</w:t>
      </w:r>
      <w:r>
        <w:rPr>
          <w:rFonts w:hint="eastAsia" w:eastAsia="黑体" w:cs="Times New Roman"/>
          <w:b w:val="0"/>
          <w:bCs w:val="0"/>
          <w:color w:val="000000"/>
          <w:kern w:val="28"/>
          <w:sz w:val="21"/>
          <w:szCs w:val="21"/>
          <w:lang w:val="en-US" w:eastAsia="zh-CN" w:bidi="ar-SA"/>
        </w:rPr>
        <w:t>-4</w:t>
      </w:r>
      <w:r>
        <w:rPr>
          <w:rFonts w:hint="eastAsia" w:ascii="Times New Roman" w:hAnsi="Times New Roman" w:eastAsia="黑体" w:cs="Times New Roman"/>
          <w:b w:val="0"/>
          <w:bCs w:val="0"/>
          <w:color w:val="000000"/>
          <w:kern w:val="28"/>
          <w:sz w:val="21"/>
          <w:szCs w:val="21"/>
          <w:lang w:val="en-US" w:eastAsia="zh-CN" w:bidi="ar-SA"/>
        </w:rPr>
        <w:t xml:space="preserve"> 公辅设施单元安全检查表</w:t>
      </w:r>
      <w:bookmarkEnd w:id="359"/>
      <w:bookmarkEnd w:id="360"/>
      <w:bookmarkEnd w:id="361"/>
    </w:p>
    <w:tbl>
      <w:tblPr>
        <w:tblStyle w:val="37"/>
        <w:tblW w:w="9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3276"/>
        <w:gridCol w:w="2362"/>
        <w:gridCol w:w="2319"/>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24" w:type="dxa"/>
            <w:noWrap w:val="0"/>
            <w:vAlign w:val="center"/>
          </w:tcPr>
          <w:p>
            <w:pPr>
              <w:numPr>
                <w:ilvl w:val="0"/>
                <w:numId w:val="0"/>
              </w:numPr>
              <w:spacing w:line="240" w:lineRule="auto"/>
              <w:ind w:leftChars="0"/>
              <w:jc w:val="both"/>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3276"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检查内容</w:t>
            </w:r>
          </w:p>
        </w:tc>
        <w:tc>
          <w:tcPr>
            <w:tcW w:w="2362"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依据</w:t>
            </w:r>
          </w:p>
        </w:tc>
        <w:tc>
          <w:tcPr>
            <w:tcW w:w="2319"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实际情况</w:t>
            </w:r>
          </w:p>
        </w:tc>
        <w:tc>
          <w:tcPr>
            <w:tcW w:w="716" w:type="dxa"/>
            <w:noWrap w:val="0"/>
            <w:vAlign w:val="center"/>
          </w:tcPr>
          <w:p>
            <w:pPr>
              <w:spacing w:line="240" w:lineRule="auto"/>
              <w:jc w:val="center"/>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7" w:type="dxa"/>
            <w:gridSpan w:val="5"/>
            <w:noWrap w:val="0"/>
            <w:vAlign w:val="center"/>
          </w:tcPr>
          <w:p>
            <w:pPr>
              <w:numPr>
                <w:ilvl w:val="0"/>
                <w:numId w:val="0"/>
              </w:numPr>
              <w:spacing w:line="240" w:lineRule="auto"/>
              <w:ind w:leftChars="0"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消防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rPr>
            </w:pPr>
          </w:p>
        </w:tc>
        <w:tc>
          <w:tcPr>
            <w:tcW w:w="3276" w:type="dxa"/>
            <w:noWrap w:val="0"/>
            <w:vAlign w:val="center"/>
          </w:tcPr>
          <w:p>
            <w:pPr>
              <w:widowControl/>
              <w:spacing w:line="240" w:lineRule="auto"/>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厂区、仓库区内应设置消防车道。</w:t>
            </w:r>
          </w:p>
        </w:tc>
        <w:tc>
          <w:tcPr>
            <w:tcW w:w="2362" w:type="dxa"/>
            <w:noWrap w:val="0"/>
            <w:vAlign w:val="center"/>
          </w:tcPr>
          <w:p>
            <w:pPr>
              <w:spacing w:line="240" w:lineRule="auto"/>
              <w:ind w:right="-46" w:rightChars="-22"/>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第7.1.3条</w:t>
            </w:r>
          </w:p>
        </w:tc>
        <w:tc>
          <w:tcPr>
            <w:tcW w:w="2319" w:type="dxa"/>
            <w:noWrap w:val="0"/>
            <w:vAlign w:val="center"/>
          </w:tcPr>
          <w:p>
            <w:pPr>
              <w:widowControl/>
              <w:spacing w:line="240" w:lineRule="auto"/>
              <w:jc w:val="both"/>
              <w:rPr>
                <w:rFonts w:hint="default" w:ascii="Times New Roman" w:hAnsi="Times New Roman" w:eastAsia="宋体" w:cs="Times New Roman"/>
                <w:sz w:val="21"/>
                <w:szCs w:val="21"/>
                <w:lang w:eastAsia="zh-CN" w:bidi="ar"/>
              </w:rPr>
            </w:pPr>
            <w:r>
              <w:rPr>
                <w:rFonts w:hint="default" w:ascii="Times New Roman" w:hAnsi="Times New Roman" w:eastAsia="宋体" w:cs="Times New Roman"/>
                <w:sz w:val="21"/>
                <w:szCs w:val="21"/>
                <w:lang w:bidi="ar"/>
              </w:rPr>
              <w:t>厂区内</w:t>
            </w:r>
            <w:r>
              <w:rPr>
                <w:rFonts w:hint="default" w:ascii="Times New Roman" w:hAnsi="Times New Roman" w:eastAsia="宋体" w:cs="Times New Roman"/>
                <w:sz w:val="21"/>
                <w:szCs w:val="21"/>
                <w:lang w:eastAsia="zh-CN" w:bidi="ar"/>
              </w:rPr>
              <w:t>道路设置满足消防车道要求</w:t>
            </w:r>
            <w:r>
              <w:rPr>
                <w:rFonts w:hint="eastAsia" w:ascii="Times New Roman" w:hAnsi="Times New Roman" w:eastAsia="宋体" w:cs="Times New Roman"/>
                <w:sz w:val="21"/>
                <w:szCs w:val="21"/>
                <w:lang w:eastAsia="zh-CN" w:bidi="ar"/>
              </w:rPr>
              <w:t>。</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rPr>
            </w:pPr>
          </w:p>
        </w:tc>
        <w:tc>
          <w:tcPr>
            <w:tcW w:w="3276" w:type="dxa"/>
            <w:noWrap w:val="0"/>
            <w:vAlign w:val="center"/>
          </w:tcPr>
          <w:p>
            <w:pPr>
              <w:widowControl/>
              <w:spacing w:line="240" w:lineRule="auto"/>
              <w:jc w:val="both"/>
              <w:rPr>
                <w:rFonts w:hint="default" w:ascii="Times New Roman" w:hAnsi="Times New Roman" w:eastAsia="宋体" w:cs="Times New Roman"/>
                <w:sz w:val="21"/>
                <w:szCs w:val="21"/>
                <w:lang w:val="en-US" w:eastAsia="zh-CN" w:bidi="ar"/>
              </w:rPr>
            </w:pPr>
            <w:r>
              <w:rPr>
                <w:rFonts w:hint="eastAsia" w:ascii="Times New Roman" w:hAnsi="Times New Roman" w:eastAsia="宋体" w:cs="Times New Roman"/>
                <w:sz w:val="21"/>
                <w:szCs w:val="21"/>
                <w:lang w:bidi="ar"/>
              </w:rPr>
              <w:t>厂区内应设室外消火栓。</w:t>
            </w:r>
          </w:p>
        </w:tc>
        <w:tc>
          <w:tcPr>
            <w:tcW w:w="2362" w:type="dxa"/>
            <w:noWrap w:val="0"/>
            <w:vAlign w:val="center"/>
          </w:tcPr>
          <w:p>
            <w:pPr>
              <w:jc w:val="center"/>
              <w:rPr>
                <w:rFonts w:hint="default" w:ascii="宋体" w:hAnsi="宋体" w:eastAsia="宋体" w:cs="宋体"/>
                <w:kern w:val="0"/>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w:t>
            </w:r>
            <w:r>
              <w:rPr>
                <w:rFonts w:hint="eastAsia" w:cs="Times New Roman"/>
                <w:color w:val="auto"/>
                <w:kern w:val="0"/>
                <w:sz w:val="21"/>
                <w:szCs w:val="21"/>
                <w:lang w:val="en-US" w:eastAsia="zh-CN"/>
              </w:rPr>
              <w:t>8.2.1</w:t>
            </w:r>
            <w:r>
              <w:rPr>
                <w:rFonts w:hint="default" w:ascii="Times New Roman" w:hAnsi="Times New Roman" w:eastAsia="宋体" w:cs="Times New Roman"/>
                <w:color w:val="auto"/>
                <w:kern w:val="0"/>
                <w:sz w:val="21"/>
                <w:szCs w:val="21"/>
              </w:rPr>
              <w:t>条</w:t>
            </w:r>
          </w:p>
        </w:tc>
        <w:tc>
          <w:tcPr>
            <w:tcW w:w="2319" w:type="dxa"/>
            <w:noWrap w:val="0"/>
            <w:vAlign w:val="center"/>
          </w:tcPr>
          <w:p>
            <w:pPr>
              <w:widowControl/>
              <w:spacing w:line="240" w:lineRule="auto"/>
              <w:jc w:val="both"/>
              <w:rPr>
                <w:rFonts w:hint="default" w:ascii="Times New Roman" w:hAnsi="Times New Roman" w:eastAsia="宋体" w:cs="Times New Roman"/>
                <w:sz w:val="21"/>
                <w:szCs w:val="21"/>
                <w:lang w:val="en-US" w:eastAsia="zh-CN" w:bidi="ar"/>
              </w:rPr>
            </w:pPr>
            <w:r>
              <w:rPr>
                <w:rFonts w:hint="eastAsia" w:ascii="Times New Roman" w:hAnsi="Times New Roman" w:eastAsia="宋体" w:cs="Times New Roman"/>
                <w:sz w:val="21"/>
                <w:szCs w:val="21"/>
                <w:lang w:bidi="ar"/>
              </w:rPr>
              <w:t>厂区</w:t>
            </w:r>
            <w:r>
              <w:rPr>
                <w:rFonts w:hint="eastAsia" w:cs="Times New Roman"/>
                <w:sz w:val="21"/>
                <w:szCs w:val="21"/>
                <w:lang w:eastAsia="zh-CN" w:bidi="ar"/>
              </w:rPr>
              <w:t>内玉米芯堆场周围</w:t>
            </w:r>
            <w:r>
              <w:rPr>
                <w:rFonts w:hint="eastAsia" w:ascii="Times New Roman" w:hAnsi="Times New Roman" w:eastAsia="宋体" w:cs="Times New Roman"/>
                <w:sz w:val="21"/>
                <w:szCs w:val="21"/>
                <w:lang w:bidi="ar"/>
              </w:rPr>
              <w:t>设有室外消火栓。</w:t>
            </w:r>
          </w:p>
        </w:tc>
        <w:tc>
          <w:tcPr>
            <w:tcW w:w="716" w:type="dxa"/>
            <w:noWrap w:val="0"/>
            <w:vAlign w:val="center"/>
          </w:tcPr>
          <w:p>
            <w:pPr>
              <w:ind w:left="-46" w:leftChars="-22" w:right="-63" w:rightChars="-30"/>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rPr>
            </w:pPr>
          </w:p>
        </w:tc>
        <w:tc>
          <w:tcPr>
            <w:tcW w:w="3276" w:type="dxa"/>
            <w:noWrap w:val="0"/>
            <w:vAlign w:val="center"/>
          </w:tcPr>
          <w:p>
            <w:pPr>
              <w:widowControl/>
              <w:spacing w:line="240" w:lineRule="auto"/>
              <w:jc w:val="both"/>
              <w:rPr>
                <w:rFonts w:hint="default" w:ascii="Times New Roman" w:hAnsi="Times New Roman" w:eastAsia="宋体" w:cs="Times New Roman"/>
                <w:sz w:val="21"/>
                <w:szCs w:val="21"/>
                <w:lang w:val="en-US" w:eastAsia="zh-CN" w:bidi="ar"/>
              </w:rPr>
            </w:pPr>
            <w:r>
              <w:rPr>
                <w:rFonts w:hint="eastAsia" w:ascii="Times New Roman" w:hAnsi="Times New Roman" w:eastAsia="宋体" w:cs="Times New Roman"/>
                <w:sz w:val="21"/>
                <w:szCs w:val="21"/>
                <w:lang w:bidi="ar"/>
              </w:rPr>
              <w:t>建筑占地面积大于300</w:t>
            </w:r>
            <w:r>
              <w:rPr>
                <w:rFonts w:hint="eastAsia" w:ascii="Times New Roman" w:hAnsi="Times New Roman" w:eastAsia="宋体" w:cs="Times New Roman"/>
                <w:sz w:val="21"/>
                <w:szCs w:val="21"/>
                <w:lang w:val="en-US" w:eastAsia="zh-CN" w:bidi="ar"/>
              </w:rPr>
              <w:t>m</w:t>
            </w:r>
            <w:r>
              <w:rPr>
                <w:rFonts w:hint="eastAsia" w:ascii="Times New Roman" w:hAnsi="Times New Roman" w:eastAsia="宋体" w:cs="Times New Roman"/>
                <w:sz w:val="21"/>
                <w:szCs w:val="21"/>
                <w:vertAlign w:val="superscript"/>
                <w:lang w:val="en-US" w:eastAsia="zh-CN" w:bidi="ar"/>
              </w:rPr>
              <w:t>2</w:t>
            </w:r>
            <w:r>
              <w:rPr>
                <w:rFonts w:hint="eastAsia" w:ascii="Times New Roman" w:hAnsi="Times New Roman" w:eastAsia="宋体" w:cs="Times New Roman"/>
                <w:sz w:val="21"/>
                <w:szCs w:val="21"/>
                <w:lang w:bidi="ar"/>
              </w:rPr>
              <w:t>的厂房和仓库需设置室内消火栓。</w:t>
            </w:r>
          </w:p>
        </w:tc>
        <w:tc>
          <w:tcPr>
            <w:tcW w:w="2362" w:type="dxa"/>
            <w:noWrap w:val="0"/>
            <w:vAlign w:val="center"/>
          </w:tcPr>
          <w:p>
            <w:pPr>
              <w:spacing w:line="240" w:lineRule="auto"/>
              <w:ind w:right="-46" w:rightChars="-22"/>
              <w:jc w:val="center"/>
              <w:rPr>
                <w:rFonts w:hint="default" w:ascii="宋体" w:hAnsi="宋体" w:eastAsia="宋体" w:cs="宋体"/>
                <w:color w:val="auto"/>
                <w:kern w:val="0"/>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kern w:val="0"/>
                <w:sz w:val="21"/>
                <w:szCs w:val="21"/>
              </w:rPr>
              <w:t>第</w:t>
            </w:r>
            <w:r>
              <w:rPr>
                <w:rFonts w:hint="eastAsia" w:ascii="Times New Roman" w:hAnsi="Times New Roman" w:eastAsia="宋体" w:cs="Times New Roman"/>
                <w:color w:val="auto"/>
                <w:kern w:val="0"/>
                <w:sz w:val="21"/>
                <w:szCs w:val="21"/>
                <w:lang w:val="en-US" w:eastAsia="zh-CN"/>
              </w:rPr>
              <w:t>8.2.1</w:t>
            </w:r>
            <w:r>
              <w:rPr>
                <w:rFonts w:hint="default" w:ascii="Times New Roman" w:hAnsi="Times New Roman" w:eastAsia="宋体" w:cs="Times New Roman"/>
                <w:color w:val="auto"/>
                <w:kern w:val="0"/>
                <w:sz w:val="21"/>
                <w:szCs w:val="21"/>
              </w:rPr>
              <w:t>条</w:t>
            </w:r>
          </w:p>
        </w:tc>
        <w:tc>
          <w:tcPr>
            <w:tcW w:w="2319" w:type="dxa"/>
            <w:noWrap w:val="0"/>
            <w:vAlign w:val="center"/>
          </w:tcPr>
          <w:p>
            <w:pPr>
              <w:spacing w:line="240" w:lineRule="auto"/>
              <w:ind w:left="-46" w:leftChars="-22" w:right="-63" w:rightChars="-3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生产车间</w:t>
            </w:r>
            <w:r>
              <w:rPr>
                <w:rFonts w:hint="eastAsia" w:ascii="宋体" w:hAnsi="宋体" w:eastAsia="宋体" w:cs="宋体"/>
                <w:color w:val="auto"/>
                <w:szCs w:val="21"/>
                <w:lang w:eastAsia="zh-CN"/>
              </w:rPr>
              <w:t>按规范要求设置了</w:t>
            </w:r>
            <w:r>
              <w:rPr>
                <w:rFonts w:hint="eastAsia" w:ascii="宋体" w:hAnsi="宋体" w:eastAsia="宋体" w:cs="宋体"/>
                <w:color w:val="auto"/>
                <w:szCs w:val="21"/>
              </w:rPr>
              <w:t>室内消火栓</w:t>
            </w:r>
            <w:r>
              <w:rPr>
                <w:rFonts w:hint="eastAsia" w:ascii="宋体" w:hAnsi="宋体" w:eastAsia="宋体" w:cs="宋体"/>
                <w:color w:val="auto"/>
                <w:szCs w:val="21"/>
                <w:lang w:eastAsia="zh-CN"/>
              </w:rPr>
              <w:t>。</w:t>
            </w:r>
          </w:p>
        </w:tc>
        <w:tc>
          <w:tcPr>
            <w:tcW w:w="716" w:type="dxa"/>
            <w:noWrap w:val="0"/>
            <w:vAlign w:val="center"/>
          </w:tcPr>
          <w:p>
            <w:pPr>
              <w:spacing w:line="240" w:lineRule="auto"/>
              <w:ind w:left="-46" w:leftChars="-22" w:right="-63" w:rightChars="-3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widowControl/>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企业应根据其生产储存场所的火灾危险性及其性质选择适宜的灭火器材。</w:t>
            </w:r>
          </w:p>
        </w:tc>
        <w:tc>
          <w:tcPr>
            <w:tcW w:w="2362" w:type="dxa"/>
            <w:noWrap w:val="0"/>
            <w:vAlign w:val="center"/>
          </w:tcPr>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《建筑灭火器配置设计规范》</w:t>
            </w:r>
            <w:r>
              <w:rPr>
                <w:rFonts w:hint="eastAsia" w:cs="Times New Roman"/>
                <w:color w:val="000000"/>
                <w:spacing w:val="0"/>
                <w:kern w:val="2"/>
                <w:sz w:val="21"/>
                <w:szCs w:val="21"/>
                <w:lang w:val="en-US" w:eastAsia="zh-CN"/>
              </w:rPr>
              <w:t>（</w:t>
            </w:r>
            <w:r>
              <w:rPr>
                <w:rFonts w:hint="default" w:ascii="Times New Roman" w:hAnsi="Times New Roman" w:eastAsia="宋体" w:cs="Times New Roman"/>
                <w:color w:val="000000"/>
                <w:spacing w:val="0"/>
                <w:kern w:val="2"/>
                <w:sz w:val="21"/>
                <w:szCs w:val="21"/>
                <w:lang w:val="en-US" w:eastAsia="zh-CN"/>
              </w:rPr>
              <w:t>GB50140-</w:t>
            </w:r>
          </w:p>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2005</w:t>
            </w:r>
            <w:r>
              <w:rPr>
                <w:rFonts w:hint="eastAsia" w:cs="Times New Roman"/>
                <w:color w:val="000000"/>
                <w:spacing w:val="0"/>
                <w:kern w:val="2"/>
                <w:sz w:val="21"/>
                <w:szCs w:val="21"/>
                <w:lang w:val="en-US" w:eastAsia="zh-CN"/>
              </w:rPr>
              <w:t>）</w:t>
            </w:r>
            <w:r>
              <w:rPr>
                <w:rFonts w:hint="default" w:ascii="Times New Roman" w:hAnsi="Times New Roman" w:eastAsia="宋体" w:cs="Times New Roman"/>
                <w:color w:val="000000"/>
                <w:spacing w:val="0"/>
                <w:kern w:val="2"/>
                <w:sz w:val="21"/>
                <w:szCs w:val="21"/>
                <w:lang w:val="en-US" w:eastAsia="zh-CN"/>
              </w:rPr>
              <w:t>第4.1.1条、</w:t>
            </w:r>
            <w:r>
              <w:rPr>
                <w:rFonts w:hint="eastAsia" w:ascii="Times New Roman" w:hAnsi="Times New Roman" w:eastAsia="宋体" w:cs="Times New Roman"/>
                <w:color w:val="000000"/>
                <w:spacing w:val="0"/>
                <w:kern w:val="2"/>
                <w:sz w:val="21"/>
                <w:szCs w:val="21"/>
                <w:lang w:val="en-US" w:eastAsia="zh-CN"/>
              </w:rPr>
              <w:t>第</w:t>
            </w:r>
            <w:r>
              <w:rPr>
                <w:rFonts w:hint="default" w:ascii="Times New Roman" w:hAnsi="Times New Roman" w:eastAsia="宋体" w:cs="Times New Roman"/>
                <w:color w:val="000000"/>
                <w:spacing w:val="0"/>
                <w:kern w:val="2"/>
                <w:sz w:val="21"/>
                <w:szCs w:val="21"/>
                <w:lang w:val="en-US" w:eastAsia="zh-CN"/>
              </w:rPr>
              <w:t>4.2条</w:t>
            </w:r>
          </w:p>
        </w:tc>
        <w:tc>
          <w:tcPr>
            <w:tcW w:w="2319" w:type="dxa"/>
            <w:noWrap w:val="0"/>
            <w:vAlign w:val="center"/>
          </w:tcPr>
          <w:p>
            <w:pPr>
              <w:widowControl/>
              <w:spacing w:line="240" w:lineRule="auto"/>
              <w:jc w:val="both"/>
              <w:rPr>
                <w:rFonts w:hint="default" w:ascii="Times New Roman" w:hAnsi="Times New Roman" w:eastAsia="宋体" w:cs="Times New Roman"/>
                <w:color w:val="auto"/>
                <w:kern w:val="0"/>
                <w:sz w:val="21"/>
                <w:szCs w:val="21"/>
                <w:lang w:eastAsia="zh-CN"/>
              </w:rPr>
            </w:pPr>
            <w:r>
              <w:rPr>
                <w:rFonts w:hint="eastAsia" w:ascii="宋体" w:hAnsi="宋体" w:eastAsia="宋体" w:cs="宋体"/>
                <w:color w:val="auto"/>
                <w:szCs w:val="21"/>
              </w:rPr>
              <w:t>生产</w:t>
            </w:r>
            <w:r>
              <w:rPr>
                <w:rFonts w:hint="eastAsia" w:ascii="宋体" w:hAnsi="宋体" w:cs="宋体"/>
                <w:color w:val="auto"/>
                <w:szCs w:val="21"/>
                <w:lang w:eastAsia="zh-CN"/>
              </w:rPr>
              <w:t>储存</w:t>
            </w:r>
            <w:r>
              <w:rPr>
                <w:rFonts w:hint="eastAsia" w:ascii="宋体" w:hAnsi="宋体" w:eastAsia="宋体" w:cs="宋体"/>
                <w:color w:val="auto"/>
                <w:szCs w:val="21"/>
                <w:lang w:eastAsia="zh-CN"/>
              </w:rPr>
              <w:t>均</w:t>
            </w:r>
            <w:r>
              <w:rPr>
                <w:rFonts w:hint="default" w:ascii="Times New Roman" w:hAnsi="Times New Roman" w:eastAsia="宋体" w:cs="Times New Roman"/>
                <w:color w:val="auto"/>
                <w:kern w:val="0"/>
                <w:sz w:val="21"/>
                <w:szCs w:val="21"/>
              </w:rPr>
              <w:t>配</w:t>
            </w:r>
            <w:r>
              <w:rPr>
                <w:rFonts w:hint="default" w:ascii="Times New Roman" w:hAnsi="Times New Roman" w:eastAsia="宋体" w:cs="Times New Roman"/>
                <w:color w:val="auto"/>
                <w:kern w:val="0"/>
                <w:sz w:val="21"/>
                <w:szCs w:val="21"/>
                <w:lang w:eastAsia="zh-CN"/>
              </w:rPr>
              <w:t>备了干粉</w:t>
            </w:r>
            <w:r>
              <w:rPr>
                <w:rFonts w:hint="default" w:ascii="Times New Roman" w:hAnsi="Times New Roman" w:eastAsia="宋体" w:cs="Times New Roman"/>
                <w:color w:val="auto"/>
                <w:kern w:val="0"/>
                <w:sz w:val="21"/>
                <w:szCs w:val="21"/>
              </w:rPr>
              <w:t>灭火器</w:t>
            </w:r>
            <w:r>
              <w:rPr>
                <w:rFonts w:hint="default" w:ascii="Times New Roman" w:hAnsi="Times New Roman" w:eastAsia="宋体" w:cs="Times New Roman"/>
                <w:color w:val="auto"/>
                <w:kern w:val="0"/>
                <w:sz w:val="21"/>
                <w:szCs w:val="21"/>
                <w:lang w:eastAsia="zh-CN"/>
              </w:rPr>
              <w:t>；配电</w:t>
            </w:r>
            <w:r>
              <w:rPr>
                <w:rFonts w:hint="eastAsia" w:ascii="Times New Roman" w:hAnsi="Times New Roman" w:eastAsia="宋体" w:cs="Times New Roman"/>
                <w:color w:val="auto"/>
                <w:kern w:val="0"/>
                <w:sz w:val="21"/>
                <w:szCs w:val="21"/>
                <w:lang w:eastAsia="zh-CN"/>
              </w:rPr>
              <w:t>间</w:t>
            </w:r>
            <w:r>
              <w:rPr>
                <w:rFonts w:hint="default" w:ascii="Times New Roman" w:hAnsi="Times New Roman" w:eastAsia="宋体" w:cs="Times New Roman"/>
                <w:color w:val="auto"/>
                <w:kern w:val="0"/>
                <w:sz w:val="21"/>
                <w:szCs w:val="21"/>
                <w:lang w:eastAsia="zh-CN"/>
              </w:rPr>
              <w:t>配备了二氧化碳灭火器。</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widowControl/>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灭火器应设置在位置明显和便于取用的地点，且不得影响安全疏散。</w:t>
            </w:r>
          </w:p>
        </w:tc>
        <w:tc>
          <w:tcPr>
            <w:tcW w:w="2362" w:type="dxa"/>
            <w:noWrap w:val="0"/>
            <w:vAlign w:val="center"/>
          </w:tcPr>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《建筑灭火器配置设计规范》</w:t>
            </w:r>
            <w:r>
              <w:rPr>
                <w:rFonts w:hint="eastAsia" w:cs="Times New Roman"/>
                <w:color w:val="000000"/>
                <w:spacing w:val="0"/>
                <w:kern w:val="2"/>
                <w:sz w:val="21"/>
                <w:szCs w:val="21"/>
                <w:lang w:val="en-US" w:eastAsia="zh-CN"/>
              </w:rPr>
              <w:t>（</w:t>
            </w:r>
            <w:r>
              <w:rPr>
                <w:rFonts w:hint="default" w:ascii="Times New Roman" w:hAnsi="Times New Roman" w:eastAsia="宋体" w:cs="Times New Roman"/>
                <w:color w:val="000000"/>
                <w:spacing w:val="0"/>
                <w:kern w:val="2"/>
                <w:sz w:val="21"/>
                <w:szCs w:val="21"/>
                <w:lang w:val="en-US" w:eastAsia="zh-CN"/>
              </w:rPr>
              <w:t>GB50140-</w:t>
            </w:r>
          </w:p>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2005</w:t>
            </w:r>
            <w:r>
              <w:rPr>
                <w:rFonts w:hint="eastAsia" w:cs="Times New Roman"/>
                <w:color w:val="000000"/>
                <w:spacing w:val="0"/>
                <w:kern w:val="2"/>
                <w:sz w:val="21"/>
                <w:szCs w:val="21"/>
                <w:lang w:val="en-US" w:eastAsia="zh-CN"/>
              </w:rPr>
              <w:t>）</w:t>
            </w:r>
            <w:r>
              <w:rPr>
                <w:rFonts w:hint="default" w:ascii="Times New Roman" w:hAnsi="Times New Roman" w:eastAsia="宋体" w:cs="Times New Roman"/>
                <w:color w:val="000000"/>
                <w:spacing w:val="0"/>
                <w:kern w:val="2"/>
                <w:sz w:val="21"/>
                <w:szCs w:val="21"/>
                <w:lang w:val="en-US" w:eastAsia="zh-CN"/>
              </w:rPr>
              <w:t>第5.1.1条</w:t>
            </w:r>
          </w:p>
        </w:tc>
        <w:tc>
          <w:tcPr>
            <w:tcW w:w="2319" w:type="dxa"/>
            <w:noWrap w:val="0"/>
            <w:vAlign w:val="center"/>
          </w:tcPr>
          <w:p>
            <w:pPr>
              <w:widowControl/>
              <w:spacing w:line="240" w:lineRule="auto"/>
              <w:jc w:val="both"/>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sz w:val="21"/>
                <w:szCs w:val="21"/>
                <w:lang w:bidi="ar"/>
              </w:rPr>
              <w:t>灭火器设置在明显和便于取用的地点，且不影响安全疏散。</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pStyle w:val="35"/>
              <w:keepNext w:val="0"/>
              <w:keepLines w:val="0"/>
              <w:widowControl w:val="0"/>
              <w:suppressLineNumbers w:val="0"/>
              <w:autoSpaceDE w:val="0"/>
              <w:autoSpaceDN w:val="0"/>
              <w:adjustRightInd w:val="0"/>
              <w:spacing w:before="184" w:beforeAutospacing="0" w:after="0" w:afterAutospacing="0" w:line="240" w:lineRule="auto"/>
              <w:ind w:left="0" w:leftChars="0" w:right="0" w:rightChars="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sz w:val="21"/>
                <w:szCs w:val="21"/>
                <w:lang w:bidi="ar"/>
              </w:rPr>
              <w:t>一个计算单元内配置的灭火器数量不得少于2具。每个设置点的灭火器数量不宜多于5具。</w:t>
            </w:r>
          </w:p>
        </w:tc>
        <w:tc>
          <w:tcPr>
            <w:tcW w:w="2362" w:type="dxa"/>
            <w:noWrap w:val="0"/>
            <w:vAlign w:val="center"/>
          </w:tcPr>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《建筑灭火器配置设计规范》</w:t>
            </w:r>
            <w:r>
              <w:rPr>
                <w:rFonts w:hint="eastAsia" w:cs="Times New Roman"/>
                <w:color w:val="000000"/>
                <w:spacing w:val="0"/>
                <w:kern w:val="2"/>
                <w:sz w:val="21"/>
                <w:szCs w:val="21"/>
                <w:lang w:val="en-US" w:eastAsia="zh-CN"/>
              </w:rPr>
              <w:t>（</w:t>
            </w:r>
            <w:r>
              <w:rPr>
                <w:rFonts w:hint="default" w:ascii="Times New Roman" w:hAnsi="Times New Roman" w:eastAsia="宋体" w:cs="Times New Roman"/>
                <w:color w:val="000000"/>
                <w:spacing w:val="0"/>
                <w:kern w:val="2"/>
                <w:sz w:val="21"/>
                <w:szCs w:val="21"/>
                <w:lang w:val="en-US" w:eastAsia="zh-CN"/>
              </w:rPr>
              <w:t>GB50140-</w:t>
            </w:r>
          </w:p>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2005</w:t>
            </w:r>
            <w:r>
              <w:rPr>
                <w:rFonts w:hint="eastAsia" w:cs="Times New Roman"/>
                <w:color w:val="000000"/>
                <w:spacing w:val="0"/>
                <w:kern w:val="2"/>
                <w:sz w:val="21"/>
                <w:szCs w:val="21"/>
                <w:lang w:val="en-US" w:eastAsia="zh-CN"/>
              </w:rPr>
              <w:t>）</w:t>
            </w:r>
            <w:r>
              <w:rPr>
                <w:rFonts w:hint="default" w:ascii="Times New Roman" w:hAnsi="Times New Roman" w:eastAsia="宋体" w:cs="Times New Roman"/>
                <w:color w:val="000000"/>
                <w:spacing w:val="0"/>
                <w:kern w:val="2"/>
                <w:sz w:val="21"/>
                <w:szCs w:val="21"/>
                <w:lang w:val="en-US" w:eastAsia="zh-CN"/>
              </w:rPr>
              <w:t>第6.1条</w:t>
            </w:r>
          </w:p>
        </w:tc>
        <w:tc>
          <w:tcPr>
            <w:tcW w:w="2319" w:type="dxa"/>
            <w:noWrap w:val="0"/>
            <w:vAlign w:val="center"/>
          </w:tcPr>
          <w:p>
            <w:pPr>
              <w:pStyle w:val="35"/>
              <w:keepNext w:val="0"/>
              <w:keepLines w:val="0"/>
              <w:widowControl w:val="0"/>
              <w:suppressLineNumbers w:val="0"/>
              <w:autoSpaceDE w:val="0"/>
              <w:autoSpaceDN w:val="0"/>
              <w:adjustRightInd w:val="0"/>
              <w:spacing w:before="184" w:beforeAutospacing="0" w:after="0" w:afterAutospacing="0" w:line="240" w:lineRule="auto"/>
              <w:ind w:left="0" w:leftChars="0" w:right="0" w:rightChars="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sz w:val="21"/>
                <w:szCs w:val="21"/>
                <w:lang w:bidi="ar"/>
              </w:rPr>
              <w:t>灭火器布置符合要求。</w:t>
            </w:r>
          </w:p>
        </w:tc>
        <w:tc>
          <w:tcPr>
            <w:tcW w:w="716" w:type="dxa"/>
            <w:noWrap w:val="0"/>
            <w:vAlign w:val="center"/>
          </w:tcPr>
          <w:p>
            <w:pPr>
              <w:pStyle w:val="35"/>
              <w:keepNext w:val="0"/>
              <w:keepLines w:val="0"/>
              <w:widowControl w:val="0"/>
              <w:suppressLineNumbers w:val="0"/>
              <w:autoSpaceDE w:val="0"/>
              <w:autoSpaceDN w:val="0"/>
              <w:adjustRightInd w:val="0"/>
              <w:spacing w:before="184" w:beforeAutospacing="0" w:after="0" w:afterAutospacing="0" w:line="240" w:lineRule="auto"/>
              <w:ind w:left="0" w:leftChars="0" w:right="0" w:right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sz w:val="21"/>
                <w:szCs w:val="21"/>
                <w:lang w:bidi="ar"/>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widowControl/>
              <w:spacing w:line="240" w:lineRule="auto"/>
              <w:jc w:val="both"/>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rPr>
              <w:t>消防水池容量是否满足消防用水量的需求</w:t>
            </w:r>
            <w:r>
              <w:rPr>
                <w:rFonts w:hint="eastAsia" w:ascii="Times New Roman" w:hAnsi="Times New Roman" w:eastAsia="宋体" w:cs="Times New Roman"/>
                <w:color w:val="auto"/>
                <w:kern w:val="0"/>
                <w:sz w:val="21"/>
                <w:szCs w:val="21"/>
                <w:lang w:eastAsia="zh-CN"/>
              </w:rPr>
              <w:t>。</w:t>
            </w:r>
          </w:p>
        </w:tc>
        <w:tc>
          <w:tcPr>
            <w:tcW w:w="2362" w:type="dxa"/>
            <w:noWrap w:val="0"/>
            <w:vAlign w:val="center"/>
          </w:tcPr>
          <w:p>
            <w:pPr>
              <w:spacing w:line="240" w:lineRule="auto"/>
              <w:ind w:right="-46" w:rightChars="-22"/>
              <w:jc w:val="center"/>
              <w:rPr>
                <w:rFonts w:hint="eastAsia"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《消防给水及消火栓系统技术规范》</w:t>
            </w:r>
            <w:r>
              <w:rPr>
                <w:rFonts w:hint="eastAsia" w:cs="Times New Roman"/>
                <w:color w:val="000000"/>
                <w:spacing w:val="0"/>
                <w:kern w:val="2"/>
                <w:sz w:val="21"/>
                <w:szCs w:val="21"/>
                <w:lang w:val="en-US" w:eastAsia="zh-CN"/>
              </w:rPr>
              <w:t>（</w:t>
            </w:r>
            <w:r>
              <w:rPr>
                <w:rFonts w:hint="eastAsia" w:ascii="Times New Roman" w:hAnsi="Times New Roman" w:eastAsia="宋体" w:cs="Times New Roman"/>
                <w:color w:val="000000"/>
                <w:spacing w:val="0"/>
                <w:kern w:val="2"/>
                <w:sz w:val="21"/>
                <w:szCs w:val="21"/>
                <w:lang w:val="en-US" w:eastAsia="zh-CN"/>
              </w:rPr>
              <w:t>GB</w:t>
            </w:r>
          </w:p>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50974-2014</w:t>
            </w:r>
            <w:r>
              <w:rPr>
                <w:rFonts w:hint="eastAsia" w:cs="Times New Roman"/>
                <w:color w:val="000000"/>
                <w:spacing w:val="0"/>
                <w:kern w:val="2"/>
                <w:sz w:val="21"/>
                <w:szCs w:val="21"/>
                <w:lang w:val="en-US" w:eastAsia="zh-CN"/>
              </w:rPr>
              <w:t>）</w:t>
            </w:r>
            <w:r>
              <w:rPr>
                <w:rFonts w:hint="eastAsia" w:ascii="Times New Roman" w:hAnsi="Times New Roman" w:eastAsia="宋体" w:cs="Times New Roman"/>
                <w:color w:val="000000"/>
                <w:spacing w:val="0"/>
                <w:kern w:val="2"/>
                <w:sz w:val="21"/>
                <w:szCs w:val="21"/>
                <w:lang w:val="en-US" w:eastAsia="zh-CN"/>
              </w:rPr>
              <w:t>第3.1.2条</w:t>
            </w:r>
          </w:p>
        </w:tc>
        <w:tc>
          <w:tcPr>
            <w:tcW w:w="2319" w:type="dxa"/>
            <w:noWrap w:val="0"/>
            <w:vAlign w:val="center"/>
          </w:tcPr>
          <w:p>
            <w:pPr>
              <w:widowControl/>
              <w:spacing w:line="240" w:lineRule="auto"/>
              <w:jc w:val="both"/>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zh-CN"/>
              </w:rPr>
              <w:t>厂内消防水池的容量可满足消防用水要求。</w:t>
            </w:r>
          </w:p>
        </w:tc>
        <w:tc>
          <w:tcPr>
            <w:tcW w:w="716" w:type="dxa"/>
            <w:noWrap w:val="0"/>
            <w:vAlign w:val="center"/>
          </w:tcPr>
          <w:p>
            <w:pPr>
              <w:tabs>
                <w:tab w:val="left" w:pos="1134"/>
              </w:tabs>
              <w:spacing w:line="240" w:lineRule="auto"/>
              <w:jc w:val="center"/>
              <w:rPr>
                <w:rFonts w:hint="default" w:ascii="宋体" w:hAnsi="宋体"/>
                <w:color w:val="auto"/>
                <w:kern w:val="2"/>
                <w:sz w:val="21"/>
                <w:szCs w:val="21"/>
                <w:lang w:val="en-US" w:eastAsia="zh-CN" w:bidi="ar-SA"/>
              </w:rPr>
            </w:pPr>
            <w:r>
              <w:rPr>
                <w:rFonts w:hint="eastAsia" w:ascii="宋体" w:hAnsi="宋体"/>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widowControl/>
              <w:spacing w:line="240" w:lineRule="auto"/>
              <w:jc w:val="both"/>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rPr>
              <w:t>室外消火栓宜沿建筑周围均匀布置，且不宜集中布置在建筑一侧；建筑消防扑救面一侧的室外消火栓数量不宜少于2个。</w:t>
            </w:r>
          </w:p>
        </w:tc>
        <w:tc>
          <w:tcPr>
            <w:tcW w:w="2362" w:type="dxa"/>
            <w:noWrap w:val="0"/>
            <w:vAlign w:val="center"/>
          </w:tcPr>
          <w:p>
            <w:pPr>
              <w:spacing w:line="240" w:lineRule="auto"/>
              <w:ind w:right="-46" w:rightChars="-22"/>
              <w:jc w:val="center"/>
              <w:rPr>
                <w:rFonts w:hint="eastAsia"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《消防给水及消火栓系统技术规范》</w:t>
            </w:r>
            <w:r>
              <w:rPr>
                <w:rFonts w:hint="eastAsia" w:cs="Times New Roman"/>
                <w:color w:val="000000"/>
                <w:spacing w:val="0"/>
                <w:kern w:val="2"/>
                <w:sz w:val="21"/>
                <w:szCs w:val="21"/>
                <w:lang w:val="en-US" w:eastAsia="zh-CN"/>
              </w:rPr>
              <w:t>（</w:t>
            </w:r>
            <w:r>
              <w:rPr>
                <w:rFonts w:hint="eastAsia" w:ascii="Times New Roman" w:hAnsi="Times New Roman" w:eastAsia="宋体" w:cs="Times New Roman"/>
                <w:color w:val="000000"/>
                <w:spacing w:val="0"/>
                <w:kern w:val="2"/>
                <w:sz w:val="21"/>
                <w:szCs w:val="21"/>
                <w:lang w:val="en-US" w:eastAsia="zh-CN"/>
              </w:rPr>
              <w:t>GB</w:t>
            </w:r>
          </w:p>
          <w:p>
            <w:pPr>
              <w:jc w:val="center"/>
              <w:rPr>
                <w:rFonts w:hint="eastAsia" w:ascii="宋体" w:hAnsi="宋体" w:eastAsia="宋体" w:cs="宋体"/>
                <w:bCs/>
                <w:kern w:val="2"/>
                <w:sz w:val="21"/>
                <w:szCs w:val="21"/>
                <w:lang w:val="en-US" w:eastAsia="zh-CN" w:bidi="ar-SA"/>
              </w:rPr>
            </w:pPr>
            <w:r>
              <w:rPr>
                <w:rFonts w:hint="eastAsia" w:ascii="Times New Roman" w:hAnsi="Times New Roman" w:eastAsia="宋体" w:cs="Times New Roman"/>
                <w:color w:val="000000"/>
                <w:spacing w:val="0"/>
                <w:kern w:val="2"/>
                <w:sz w:val="21"/>
                <w:szCs w:val="21"/>
                <w:lang w:val="en-US" w:eastAsia="zh-CN"/>
              </w:rPr>
              <w:t>50974-2014</w:t>
            </w:r>
            <w:r>
              <w:rPr>
                <w:rFonts w:hint="eastAsia" w:cs="Times New Roman"/>
                <w:color w:val="000000"/>
                <w:spacing w:val="0"/>
                <w:kern w:val="2"/>
                <w:sz w:val="21"/>
                <w:szCs w:val="21"/>
                <w:lang w:val="en-US" w:eastAsia="zh-CN"/>
              </w:rPr>
              <w:t>）</w:t>
            </w:r>
            <w:r>
              <w:rPr>
                <w:rFonts w:hint="eastAsia" w:ascii="Times New Roman" w:hAnsi="Times New Roman" w:eastAsia="宋体" w:cs="Times New Roman"/>
                <w:color w:val="000000"/>
                <w:spacing w:val="0"/>
                <w:kern w:val="2"/>
                <w:sz w:val="21"/>
                <w:szCs w:val="21"/>
                <w:lang w:val="en-US" w:eastAsia="zh-CN"/>
              </w:rPr>
              <w:t>第</w:t>
            </w:r>
            <w:r>
              <w:rPr>
                <w:rFonts w:hint="eastAsia" w:cs="Times New Roman"/>
                <w:color w:val="000000"/>
                <w:spacing w:val="0"/>
                <w:kern w:val="2"/>
                <w:sz w:val="21"/>
                <w:szCs w:val="21"/>
                <w:lang w:val="en-US" w:eastAsia="zh-CN"/>
              </w:rPr>
              <w:t>7.3.3</w:t>
            </w:r>
            <w:r>
              <w:rPr>
                <w:rFonts w:hint="eastAsia" w:ascii="Times New Roman" w:hAnsi="Times New Roman" w:eastAsia="宋体" w:cs="Times New Roman"/>
                <w:color w:val="000000"/>
                <w:spacing w:val="0"/>
                <w:kern w:val="2"/>
                <w:sz w:val="21"/>
                <w:szCs w:val="21"/>
                <w:lang w:val="en-US" w:eastAsia="zh-CN"/>
              </w:rPr>
              <w:t>条</w:t>
            </w:r>
          </w:p>
        </w:tc>
        <w:tc>
          <w:tcPr>
            <w:tcW w:w="2319" w:type="dxa"/>
            <w:noWrap w:val="0"/>
            <w:vAlign w:val="center"/>
          </w:tcPr>
          <w:p>
            <w:pPr>
              <w:widowControl/>
              <w:spacing w:line="240" w:lineRule="auto"/>
              <w:jc w:val="both"/>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rPr>
              <w:t>玉米芯堆场周围设有室外消火栓。</w:t>
            </w:r>
          </w:p>
        </w:tc>
        <w:tc>
          <w:tcPr>
            <w:tcW w:w="716" w:type="dxa"/>
            <w:noWrap w:val="0"/>
            <w:vAlign w:val="center"/>
          </w:tcPr>
          <w:p>
            <w:pPr>
              <w:jc w:val="center"/>
              <w:rPr>
                <w:rFonts w:hint="eastAsia"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widowControl/>
              <w:spacing w:line="240" w:lineRule="auto"/>
              <w:jc w:val="both"/>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rPr>
              <w:t>建筑室内消火栓栓口的安装高度应便于消防水龙带的连接和使用，其距地面高度宜为1.1m；其出水方向应便于消防水带的敷设，并宜与设置消火栓的墙面成90°角或向下。</w:t>
            </w:r>
          </w:p>
        </w:tc>
        <w:tc>
          <w:tcPr>
            <w:tcW w:w="2362" w:type="dxa"/>
            <w:noWrap w:val="0"/>
            <w:vAlign w:val="center"/>
          </w:tcPr>
          <w:p>
            <w:pPr>
              <w:spacing w:line="240" w:lineRule="auto"/>
              <w:ind w:right="-46" w:rightChars="-22"/>
              <w:jc w:val="center"/>
              <w:rPr>
                <w:rFonts w:hint="eastAsia"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《消防给水及消火栓系统技术规范》</w:t>
            </w:r>
            <w:r>
              <w:rPr>
                <w:rFonts w:hint="eastAsia" w:cs="Times New Roman"/>
                <w:color w:val="000000"/>
                <w:spacing w:val="0"/>
                <w:kern w:val="2"/>
                <w:sz w:val="21"/>
                <w:szCs w:val="21"/>
                <w:lang w:val="en-US" w:eastAsia="zh-CN"/>
              </w:rPr>
              <w:t>（</w:t>
            </w:r>
            <w:r>
              <w:rPr>
                <w:rFonts w:hint="eastAsia" w:ascii="Times New Roman" w:hAnsi="Times New Roman" w:eastAsia="宋体" w:cs="Times New Roman"/>
                <w:color w:val="000000"/>
                <w:spacing w:val="0"/>
                <w:kern w:val="2"/>
                <w:sz w:val="21"/>
                <w:szCs w:val="21"/>
                <w:lang w:val="en-US" w:eastAsia="zh-CN"/>
              </w:rPr>
              <w:t>GB</w:t>
            </w:r>
          </w:p>
          <w:p>
            <w:pPr>
              <w:spacing w:line="360" w:lineRule="auto"/>
              <w:jc w:val="center"/>
              <w:rPr>
                <w:rFonts w:hint="eastAsia" w:ascii="宋体" w:hAnsi="宋体" w:eastAsia="宋体" w:cs="宋体"/>
                <w:kern w:val="2"/>
                <w:sz w:val="21"/>
                <w:szCs w:val="21"/>
                <w:lang w:val="en-US" w:eastAsia="zh-CN" w:bidi="ar-SA"/>
              </w:rPr>
            </w:pPr>
            <w:r>
              <w:rPr>
                <w:rFonts w:hint="eastAsia" w:ascii="Times New Roman" w:hAnsi="Times New Roman" w:eastAsia="宋体" w:cs="Times New Roman"/>
                <w:color w:val="000000"/>
                <w:spacing w:val="0"/>
                <w:kern w:val="2"/>
                <w:sz w:val="21"/>
                <w:szCs w:val="21"/>
                <w:lang w:val="en-US" w:eastAsia="zh-CN"/>
              </w:rPr>
              <w:t>50974-2014</w:t>
            </w:r>
            <w:r>
              <w:rPr>
                <w:rFonts w:hint="eastAsia" w:cs="Times New Roman"/>
                <w:color w:val="000000"/>
                <w:spacing w:val="0"/>
                <w:kern w:val="2"/>
                <w:sz w:val="21"/>
                <w:szCs w:val="21"/>
                <w:lang w:val="en-US" w:eastAsia="zh-CN"/>
              </w:rPr>
              <w:t>）</w:t>
            </w:r>
            <w:r>
              <w:rPr>
                <w:rFonts w:hint="eastAsia" w:ascii="Times New Roman" w:hAnsi="Times New Roman" w:eastAsia="宋体" w:cs="Times New Roman"/>
                <w:color w:val="000000"/>
                <w:spacing w:val="0"/>
                <w:kern w:val="2"/>
                <w:sz w:val="21"/>
                <w:szCs w:val="21"/>
                <w:lang w:val="en-US" w:eastAsia="zh-CN"/>
              </w:rPr>
              <w:t>第</w:t>
            </w:r>
            <w:r>
              <w:rPr>
                <w:rFonts w:hint="eastAsia" w:cs="Times New Roman"/>
                <w:color w:val="000000"/>
                <w:spacing w:val="0"/>
                <w:kern w:val="2"/>
                <w:sz w:val="21"/>
                <w:szCs w:val="21"/>
                <w:lang w:val="en-US" w:eastAsia="zh-CN"/>
              </w:rPr>
              <w:t>7.4.8</w:t>
            </w:r>
            <w:r>
              <w:rPr>
                <w:rFonts w:hint="eastAsia" w:ascii="Times New Roman" w:hAnsi="Times New Roman" w:eastAsia="宋体" w:cs="Times New Roman"/>
                <w:color w:val="000000"/>
                <w:spacing w:val="0"/>
                <w:kern w:val="2"/>
                <w:sz w:val="21"/>
                <w:szCs w:val="21"/>
                <w:lang w:val="en-US" w:eastAsia="zh-CN"/>
              </w:rPr>
              <w:t>条</w:t>
            </w:r>
          </w:p>
        </w:tc>
        <w:tc>
          <w:tcPr>
            <w:tcW w:w="2319" w:type="dxa"/>
            <w:noWrap w:val="0"/>
            <w:vAlign w:val="center"/>
          </w:tcPr>
          <w:p>
            <w:pPr>
              <w:widowControl/>
              <w:spacing w:line="240" w:lineRule="auto"/>
              <w:jc w:val="both"/>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rPr>
              <w:t>建筑室内消火栓栓口的安装高度便于消防水龙带的连接和使用，其距地面高度为1.1m。</w:t>
            </w:r>
          </w:p>
        </w:tc>
        <w:tc>
          <w:tcPr>
            <w:tcW w:w="716" w:type="dxa"/>
            <w:noWrap w:val="0"/>
            <w:vAlign w:val="center"/>
          </w:tcPr>
          <w:p>
            <w:pPr>
              <w:spacing w:line="36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widowControl/>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设置在建筑室内外供人员操作或使用的消防设施，是否设置区别于环境的明显标志</w:t>
            </w:r>
          </w:p>
        </w:tc>
        <w:tc>
          <w:tcPr>
            <w:tcW w:w="2362" w:type="dxa"/>
            <w:noWrap w:val="0"/>
            <w:vAlign w:val="center"/>
          </w:tcPr>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000000"/>
                <w:spacing w:val="0"/>
                <w:kern w:val="2"/>
                <w:sz w:val="21"/>
                <w:szCs w:val="21"/>
                <w:lang w:val="en-US" w:eastAsia="zh-CN"/>
              </w:rPr>
              <w:t>第8.1.11条</w:t>
            </w:r>
          </w:p>
        </w:tc>
        <w:tc>
          <w:tcPr>
            <w:tcW w:w="2319" w:type="dxa"/>
            <w:noWrap w:val="0"/>
            <w:vAlign w:val="center"/>
          </w:tcPr>
          <w:p>
            <w:pPr>
              <w:widowControl/>
              <w:spacing w:line="240" w:lineRule="auto"/>
              <w:jc w:val="both"/>
              <w:rPr>
                <w:rFonts w:hint="default"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rPr>
              <w:t>设置</w:t>
            </w:r>
            <w:r>
              <w:rPr>
                <w:rFonts w:hint="default" w:ascii="Times New Roman" w:hAnsi="Times New Roman" w:eastAsia="宋体" w:cs="Times New Roman"/>
                <w:color w:val="auto"/>
                <w:kern w:val="0"/>
                <w:sz w:val="21"/>
                <w:szCs w:val="21"/>
                <w:lang w:val="zh-CN" w:eastAsia="zh-CN"/>
              </w:rPr>
              <w:t>的消防设施有</w:t>
            </w:r>
            <w:r>
              <w:rPr>
                <w:rFonts w:hint="default" w:ascii="Times New Roman" w:hAnsi="Times New Roman" w:eastAsia="宋体" w:cs="Times New Roman"/>
                <w:color w:val="auto"/>
                <w:kern w:val="0"/>
                <w:sz w:val="21"/>
                <w:szCs w:val="21"/>
                <w:lang w:val="zh-CN"/>
              </w:rPr>
              <w:t>区别于环境的明显标志</w:t>
            </w:r>
            <w:r>
              <w:rPr>
                <w:rFonts w:hint="default" w:ascii="Times New Roman" w:hAnsi="Times New Roman" w:eastAsia="宋体" w:cs="Times New Roman"/>
                <w:color w:val="auto"/>
                <w:kern w:val="0"/>
                <w:sz w:val="21"/>
                <w:szCs w:val="21"/>
                <w:lang w:val="zh-CN" w:eastAsia="zh-CN"/>
              </w:rPr>
              <w:t>。</w:t>
            </w:r>
          </w:p>
        </w:tc>
        <w:tc>
          <w:tcPr>
            <w:tcW w:w="71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kern w:val="2"/>
                <w:sz w:val="21"/>
                <w:szCs w:val="21"/>
                <w:lang w:val="en-US" w:eastAsia="zh-CN" w:bidi="ar-SA"/>
              </w:rPr>
            </w:pPr>
          </w:p>
        </w:tc>
        <w:tc>
          <w:tcPr>
            <w:tcW w:w="3276" w:type="dxa"/>
            <w:noWrap w:val="0"/>
            <w:vAlign w:val="center"/>
          </w:tcPr>
          <w:p>
            <w:pPr>
              <w:spacing w:line="240" w:lineRule="auto"/>
              <w:jc w:val="both"/>
              <w:rPr>
                <w:rFonts w:hint="default" w:ascii="Times New Roman" w:hAnsi="Times New Roman" w:eastAsia="宋体" w:cs="Times New Roman"/>
                <w:bCs/>
                <w:color w:val="auto"/>
                <w:kern w:val="2"/>
                <w:sz w:val="21"/>
                <w:szCs w:val="21"/>
                <w:lang w:val="en-US" w:eastAsia="zh-CN" w:bidi="en-US"/>
              </w:rPr>
            </w:pPr>
            <w:r>
              <w:rPr>
                <w:rFonts w:hint="default" w:ascii="Times New Roman" w:hAnsi="Times New Roman" w:eastAsia="宋体" w:cs="Times New Roman"/>
                <w:bCs/>
                <w:color w:val="auto"/>
                <w:sz w:val="21"/>
                <w:szCs w:val="21"/>
                <w:lang w:bidi="en-US"/>
              </w:rPr>
              <w:t>消防器材应定期维护保养，并有专门人员定期维修、检查，使其保持良好状态。</w:t>
            </w:r>
          </w:p>
        </w:tc>
        <w:tc>
          <w:tcPr>
            <w:tcW w:w="2362" w:type="dxa"/>
            <w:noWrap w:val="0"/>
            <w:vAlign w:val="center"/>
          </w:tcPr>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《安全生产法》</w:t>
            </w:r>
          </w:p>
          <w:p>
            <w:pPr>
              <w:spacing w:line="240" w:lineRule="auto"/>
              <w:ind w:right="-46" w:rightChars="-22"/>
              <w:jc w:val="center"/>
              <w:rPr>
                <w:rFonts w:hint="default" w:ascii="Times New Roman" w:hAnsi="Times New Roman" w:eastAsia="宋体" w:cs="Times New Roman"/>
                <w:color w:val="000000"/>
                <w:spacing w:val="0"/>
                <w:kern w:val="2"/>
                <w:sz w:val="21"/>
                <w:szCs w:val="21"/>
                <w:lang w:val="en-US" w:eastAsia="zh-CN"/>
              </w:rPr>
            </w:pPr>
            <w:r>
              <w:rPr>
                <w:rFonts w:hint="default" w:ascii="Times New Roman" w:hAnsi="Times New Roman" w:eastAsia="宋体" w:cs="Times New Roman"/>
                <w:color w:val="000000"/>
                <w:spacing w:val="0"/>
                <w:kern w:val="2"/>
                <w:sz w:val="21"/>
                <w:szCs w:val="21"/>
                <w:lang w:val="en-US" w:eastAsia="zh-CN"/>
              </w:rPr>
              <w:t>第六十九条</w:t>
            </w:r>
          </w:p>
        </w:tc>
        <w:tc>
          <w:tcPr>
            <w:tcW w:w="2319" w:type="dxa"/>
            <w:noWrap w:val="0"/>
            <w:vAlign w:val="center"/>
          </w:tcPr>
          <w:p>
            <w:pPr>
              <w:spacing w:line="240" w:lineRule="auto"/>
              <w:jc w:val="both"/>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eastAsia="宋体" w:cs="Times New Roman"/>
                <w:color w:val="auto"/>
                <w:sz w:val="21"/>
                <w:szCs w:val="21"/>
                <w:lang w:eastAsia="zh-CN" w:bidi="en-US"/>
              </w:rPr>
              <w:t>企业</w:t>
            </w:r>
            <w:r>
              <w:rPr>
                <w:rFonts w:hint="default" w:ascii="Times New Roman" w:hAnsi="Times New Roman" w:eastAsia="宋体" w:cs="Times New Roman"/>
                <w:color w:val="auto"/>
                <w:sz w:val="21"/>
                <w:szCs w:val="21"/>
                <w:lang w:bidi="en-US"/>
              </w:rPr>
              <w:t>定期对消防器材检查、维保</w:t>
            </w:r>
            <w:r>
              <w:rPr>
                <w:rFonts w:hint="default" w:ascii="Times New Roman" w:hAnsi="Times New Roman" w:eastAsia="宋体" w:cs="Times New Roman"/>
                <w:color w:val="auto"/>
                <w:sz w:val="21"/>
                <w:szCs w:val="21"/>
                <w:lang w:eastAsia="zh-CN" w:bidi="en-US"/>
              </w:rPr>
              <w:t>。</w:t>
            </w:r>
          </w:p>
        </w:tc>
        <w:tc>
          <w:tcPr>
            <w:tcW w:w="71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eastAsia="宋体" w:cs="Times New Roman"/>
                <w:color w:val="auto"/>
                <w:kern w:val="2"/>
                <w:sz w:val="21"/>
                <w:szCs w:val="21"/>
                <w:lang w:val="en-US" w:eastAsia="zh-CN" w:bidi="en-US"/>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 w:val="21"/>
                <w:szCs w:val="21"/>
                <w:lang w:val="zh-CN"/>
              </w:rPr>
              <w:t>按照国家工程建设消防技术标准需要进行消防设计的建设工程竣工应由公安消防机构验收、备案。</w:t>
            </w:r>
          </w:p>
        </w:tc>
        <w:tc>
          <w:tcPr>
            <w:tcW w:w="2362" w:type="dxa"/>
            <w:noWrap w:val="0"/>
            <w:vAlign w:val="center"/>
          </w:tcPr>
          <w:p>
            <w:pPr>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 w:val="21"/>
                <w:szCs w:val="21"/>
              </w:rPr>
              <w:t>《中华人民共和国消防法》第13条</w:t>
            </w:r>
          </w:p>
        </w:tc>
        <w:tc>
          <w:tcPr>
            <w:tcW w:w="2319" w:type="dxa"/>
            <w:noWrap w:val="0"/>
            <w:vAlign w:val="center"/>
          </w:tcPr>
          <w:p>
            <w:pPr>
              <w:spacing w:line="240" w:lineRule="auto"/>
              <w:jc w:val="both"/>
              <w:rPr>
                <w:rFonts w:hint="default" w:ascii="Times New Roman" w:hAnsi="Times New Roman" w:eastAsia="宋体" w:cs="Times New Roman"/>
                <w:bCs/>
                <w:color w:val="auto"/>
                <w:kern w:val="2"/>
                <w:sz w:val="21"/>
                <w:szCs w:val="21"/>
                <w:lang w:val="zh-CN" w:eastAsia="zh-CN" w:bidi="en-US"/>
              </w:rPr>
            </w:pPr>
            <w:r>
              <w:rPr>
                <w:rFonts w:hint="default" w:ascii="Times New Roman" w:hAnsi="Times New Roman" w:eastAsia="宋体" w:cs="Times New Roman"/>
                <w:bCs/>
                <w:color w:val="auto"/>
                <w:sz w:val="21"/>
                <w:szCs w:val="21"/>
                <w:lang w:val="zh-CN" w:bidi="en-US"/>
              </w:rPr>
              <w:t>已取得消防</w:t>
            </w:r>
            <w:r>
              <w:rPr>
                <w:rFonts w:hint="eastAsia" w:ascii="Times New Roman" w:hAnsi="Times New Roman" w:eastAsia="宋体" w:cs="Times New Roman"/>
                <w:bCs/>
                <w:color w:val="auto"/>
                <w:sz w:val="21"/>
                <w:szCs w:val="21"/>
                <w:lang w:val="zh-CN" w:bidi="en-US"/>
              </w:rPr>
              <w:t>验收意见书</w:t>
            </w:r>
            <w:r>
              <w:rPr>
                <w:rFonts w:hint="default" w:ascii="Times New Roman" w:hAnsi="Times New Roman" w:eastAsia="宋体" w:cs="Times New Roman"/>
                <w:bCs/>
                <w:color w:val="auto"/>
                <w:sz w:val="21"/>
                <w:szCs w:val="21"/>
                <w:lang w:val="zh-CN" w:bidi="en-US"/>
              </w:rPr>
              <w:t>，详见附件。</w:t>
            </w:r>
          </w:p>
        </w:tc>
        <w:tc>
          <w:tcPr>
            <w:tcW w:w="71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7" w:type="dxa"/>
            <w:gridSpan w:val="5"/>
            <w:noWrap w:val="0"/>
            <w:vAlign w:val="center"/>
          </w:tcPr>
          <w:p>
            <w:pPr>
              <w:numPr>
                <w:ilvl w:val="0"/>
                <w:numId w:val="0"/>
              </w:numPr>
              <w:spacing w:line="240" w:lineRule="auto"/>
              <w:ind w:leftChars="0"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供配电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zh-CN" w:eastAsia="zh-CN" w:bidi="ar-SA"/>
              </w:rPr>
            </w:pPr>
            <w:r>
              <w:rPr>
                <w:rFonts w:hint="default" w:ascii="Times New Roman" w:hAnsi="Times New Roman" w:eastAsia="宋体" w:cs="Times New Roman"/>
                <w:color w:val="auto"/>
                <w:spacing w:val="0"/>
                <w:kern w:val="2"/>
                <w:sz w:val="21"/>
                <w:szCs w:val="21"/>
                <w:lang w:val="en-US" w:eastAsia="zh-CN"/>
              </w:rPr>
              <w:t>用电负荷等级和供电要求，应符合现行国家标准《供配电系统设计规范》GB 50052-2009有关规定。</w:t>
            </w:r>
          </w:p>
        </w:tc>
        <w:tc>
          <w:tcPr>
            <w:tcW w:w="2362" w:type="dxa"/>
            <w:noWrap w:val="0"/>
            <w:vAlign w:val="center"/>
          </w:tcPr>
          <w:p>
            <w:pPr>
              <w:snapToGrid/>
              <w:spacing w:line="240" w:lineRule="auto"/>
              <w:ind w:left="0" w:leftChars="0" w:firstLine="0" w:firstLineChars="0"/>
              <w:jc w:val="center"/>
              <w:rPr>
                <w:rFonts w:hint="default" w:ascii="Times New Roman" w:hAnsi="Times New Roman" w:eastAsia="宋体" w:cs="Times New Roman"/>
                <w:color w:val="auto"/>
                <w:spacing w:val="0"/>
                <w:kern w:val="2"/>
                <w:sz w:val="21"/>
                <w:szCs w:val="21"/>
                <w:lang w:val="en-US" w:eastAsia="zh-CN"/>
              </w:rPr>
            </w:pPr>
            <w:r>
              <w:rPr>
                <w:rFonts w:hint="default" w:ascii="Times New Roman" w:hAnsi="Times New Roman" w:eastAsia="宋体" w:cs="Times New Roman"/>
                <w:color w:val="auto"/>
                <w:spacing w:val="0"/>
                <w:kern w:val="2"/>
                <w:sz w:val="21"/>
                <w:szCs w:val="21"/>
                <w:lang w:val="en-US" w:eastAsia="zh-CN"/>
              </w:rPr>
              <w:t>《供配电系统设计规范》</w:t>
            </w:r>
            <w:r>
              <w:rPr>
                <w:rFonts w:hint="eastAsia" w:ascii="Times New Roman" w:hAnsi="Times New Roman" w:eastAsia="宋体" w:cs="Times New Roman"/>
                <w:color w:val="auto"/>
                <w:spacing w:val="0"/>
                <w:kern w:val="2"/>
                <w:sz w:val="21"/>
                <w:szCs w:val="21"/>
                <w:lang w:val="en-US" w:eastAsia="zh-CN"/>
              </w:rPr>
              <w:t>（</w:t>
            </w:r>
            <w:r>
              <w:rPr>
                <w:rFonts w:hint="default" w:ascii="Times New Roman" w:hAnsi="Times New Roman" w:eastAsia="宋体" w:cs="Times New Roman"/>
                <w:color w:val="auto"/>
                <w:spacing w:val="0"/>
                <w:kern w:val="2"/>
                <w:sz w:val="21"/>
                <w:szCs w:val="21"/>
                <w:lang w:val="en-US" w:eastAsia="zh-CN"/>
              </w:rPr>
              <w:t>GB 50052-2009</w:t>
            </w:r>
            <w:r>
              <w:rPr>
                <w:rFonts w:hint="eastAsia" w:ascii="Times New Roman" w:hAnsi="Times New Roman" w:eastAsia="宋体" w:cs="Times New Roman"/>
                <w:color w:val="auto"/>
                <w:spacing w:val="0"/>
                <w:kern w:val="2"/>
                <w:sz w:val="21"/>
                <w:szCs w:val="21"/>
                <w:lang w:val="en-US" w:eastAsia="zh-CN"/>
              </w:rPr>
              <w:t>）</w:t>
            </w:r>
            <w:r>
              <w:rPr>
                <w:rFonts w:hint="default" w:ascii="Times New Roman" w:hAnsi="Times New Roman" w:eastAsia="宋体" w:cs="Times New Roman"/>
                <w:color w:val="auto"/>
                <w:spacing w:val="0"/>
                <w:kern w:val="2"/>
                <w:sz w:val="21"/>
                <w:szCs w:val="21"/>
                <w:lang w:val="en-US" w:eastAsia="zh-CN"/>
              </w:rPr>
              <w:t>第3.0.1条</w:t>
            </w:r>
          </w:p>
        </w:tc>
        <w:tc>
          <w:tcPr>
            <w:tcW w:w="2319"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auto"/>
                <w:spacing w:val="0"/>
                <w:kern w:val="2"/>
                <w:sz w:val="21"/>
                <w:szCs w:val="21"/>
                <w:lang w:val="en-US" w:eastAsia="zh-CN"/>
              </w:rPr>
            </w:pPr>
            <w:r>
              <w:rPr>
                <w:rFonts w:hint="eastAsia" w:cs="Times New Roman"/>
                <w:color w:val="auto"/>
                <w:spacing w:val="0"/>
                <w:kern w:val="2"/>
                <w:sz w:val="21"/>
                <w:szCs w:val="21"/>
                <w:lang w:val="en-US" w:eastAsia="zh-CN"/>
              </w:rPr>
              <w:t>该企业</w:t>
            </w:r>
            <w:r>
              <w:rPr>
                <w:rFonts w:hint="default" w:ascii="Times New Roman" w:hAnsi="Times New Roman" w:eastAsia="宋体" w:cs="Times New Roman"/>
                <w:color w:val="auto"/>
                <w:spacing w:val="0"/>
                <w:kern w:val="2"/>
                <w:sz w:val="21"/>
                <w:szCs w:val="21"/>
                <w:lang w:val="en-US" w:eastAsia="zh-CN"/>
              </w:rPr>
              <w:t>供电电源由市政外线10kV架空线引至配电室，由配电室接引至生产车间各用电设备，厂区配电电圧为380/220V，频率为50Hz</w:t>
            </w:r>
            <w:r>
              <w:rPr>
                <w:rFonts w:hint="eastAsia" w:ascii="Times New Roman" w:hAnsi="Times New Roman" w:eastAsia="宋体" w:cs="Times New Roman"/>
                <w:color w:val="auto"/>
                <w:spacing w:val="0"/>
                <w:kern w:val="2"/>
                <w:sz w:val="21"/>
                <w:szCs w:val="21"/>
                <w:lang w:val="en-US" w:eastAsia="zh-CN"/>
              </w:rPr>
              <w:t>。</w:t>
            </w:r>
          </w:p>
        </w:tc>
        <w:tc>
          <w:tcPr>
            <w:tcW w:w="716" w:type="dxa"/>
            <w:noWrap w:val="0"/>
            <w:vAlign w:val="center"/>
          </w:tcPr>
          <w:p>
            <w:pPr>
              <w:spacing w:line="240" w:lineRule="auto"/>
              <w:ind w:left="0" w:leftChars="0" w:firstLine="0" w:firstLineChars="0"/>
              <w:jc w:val="center"/>
              <w:rPr>
                <w:rFonts w:hint="default" w:ascii="Times New Roman" w:hAnsi="Times New Roman" w:eastAsia="宋体" w:cs="Times New Roman"/>
                <w:color w:val="000000"/>
                <w:spacing w:val="0"/>
                <w:kern w:val="2"/>
                <w:sz w:val="21"/>
                <w:szCs w:val="21"/>
                <w:lang w:val="en-US" w:eastAsia="zh-CN" w:bidi="ar-SA"/>
              </w:rPr>
            </w:pPr>
            <w:r>
              <w:rPr>
                <w:rFonts w:hint="default" w:ascii="Times New Roman" w:hAnsi="Times New Roman" w:eastAsia="宋体" w:cs="Times New Roman"/>
                <w:spacing w:val="0"/>
                <w:kern w:val="2"/>
                <w:sz w:val="21"/>
                <w:szCs w:val="21"/>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zh-CN" w:eastAsia="zh-CN"/>
              </w:rPr>
              <w:t>配电室的耐火等级不应低于二级。</w:t>
            </w:r>
          </w:p>
        </w:tc>
        <w:tc>
          <w:tcPr>
            <w:tcW w:w="2362"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auto"/>
                <w:spacing w:val="0"/>
                <w:kern w:val="2"/>
                <w:sz w:val="21"/>
                <w:szCs w:val="21"/>
                <w:lang w:val="en-US" w:eastAsia="zh-CN"/>
              </w:rPr>
            </w:pPr>
            <w:r>
              <w:rPr>
                <w:rFonts w:hint="default" w:ascii="Times New Roman" w:hAnsi="Times New Roman" w:eastAsia="宋体" w:cs="Times New Roman"/>
                <w:color w:val="auto"/>
                <w:spacing w:val="0"/>
                <w:kern w:val="2"/>
                <w:sz w:val="21"/>
                <w:szCs w:val="21"/>
                <w:lang w:val="en-US" w:eastAsia="zh-CN"/>
              </w:rPr>
              <w:t>《</w:t>
            </w:r>
            <w:r>
              <w:rPr>
                <w:rFonts w:hint="eastAsia" w:ascii="Times New Roman" w:hAnsi="Times New Roman" w:eastAsia="宋体" w:cs="Times New Roman"/>
                <w:color w:val="auto"/>
                <w:spacing w:val="0"/>
                <w:kern w:val="2"/>
                <w:sz w:val="21"/>
                <w:szCs w:val="21"/>
                <w:lang w:val="en-US" w:eastAsia="zh-CN"/>
              </w:rPr>
              <w:t>20kV及以下变电所设计规范</w:t>
            </w:r>
            <w:r>
              <w:rPr>
                <w:rFonts w:hint="default" w:ascii="Times New Roman" w:hAnsi="Times New Roman" w:eastAsia="宋体" w:cs="Times New Roman"/>
                <w:color w:val="auto"/>
                <w:spacing w:val="0"/>
                <w:kern w:val="2"/>
                <w:sz w:val="21"/>
                <w:szCs w:val="21"/>
                <w:lang w:val="en-US" w:eastAsia="zh-CN"/>
              </w:rPr>
              <w:t>》</w:t>
            </w:r>
            <w:r>
              <w:rPr>
                <w:rFonts w:hint="eastAsia" w:ascii="Times New Roman" w:hAnsi="Times New Roman" w:eastAsia="宋体" w:cs="Times New Roman"/>
                <w:color w:val="auto"/>
                <w:spacing w:val="0"/>
                <w:kern w:val="2"/>
                <w:sz w:val="21"/>
                <w:szCs w:val="21"/>
                <w:lang w:val="en-US" w:eastAsia="zh-CN"/>
              </w:rPr>
              <w:t>（GB 50053-</w:t>
            </w:r>
          </w:p>
          <w:p>
            <w:pPr>
              <w:snapToGrid/>
              <w:spacing w:line="240" w:lineRule="auto"/>
              <w:ind w:left="0" w:leftChars="0" w:firstLine="0" w:firstLineChars="0"/>
              <w:jc w:val="center"/>
              <w:rPr>
                <w:rFonts w:hint="default"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en-US" w:eastAsia="zh-CN"/>
              </w:rPr>
              <w:t>2013）</w:t>
            </w:r>
            <w:r>
              <w:rPr>
                <w:rFonts w:hint="default" w:ascii="Times New Roman" w:hAnsi="Times New Roman" w:eastAsia="宋体" w:cs="Times New Roman"/>
                <w:color w:val="auto"/>
                <w:spacing w:val="0"/>
                <w:kern w:val="2"/>
                <w:sz w:val="21"/>
                <w:szCs w:val="21"/>
                <w:lang w:val="en-US" w:eastAsia="zh-CN"/>
              </w:rPr>
              <w:t>第6.</w:t>
            </w:r>
            <w:r>
              <w:rPr>
                <w:rFonts w:hint="eastAsia" w:ascii="Times New Roman" w:hAnsi="Times New Roman" w:eastAsia="宋体" w:cs="Times New Roman"/>
                <w:color w:val="auto"/>
                <w:spacing w:val="0"/>
                <w:kern w:val="2"/>
                <w:sz w:val="21"/>
                <w:szCs w:val="21"/>
                <w:lang w:val="en-US" w:eastAsia="zh-CN"/>
              </w:rPr>
              <w:t>.1.1</w:t>
            </w:r>
            <w:r>
              <w:rPr>
                <w:rFonts w:hint="default" w:ascii="Times New Roman" w:hAnsi="Times New Roman" w:eastAsia="宋体" w:cs="Times New Roman"/>
                <w:color w:val="auto"/>
                <w:spacing w:val="0"/>
                <w:kern w:val="2"/>
                <w:sz w:val="21"/>
                <w:szCs w:val="21"/>
                <w:lang w:val="en-US" w:eastAsia="zh-CN"/>
              </w:rPr>
              <w:t>条</w:t>
            </w:r>
          </w:p>
        </w:tc>
        <w:tc>
          <w:tcPr>
            <w:tcW w:w="2319" w:type="dxa"/>
            <w:noWrap w:val="0"/>
            <w:vAlign w:val="center"/>
          </w:tcPr>
          <w:p>
            <w:pPr>
              <w:snapToGrid/>
              <w:spacing w:line="240" w:lineRule="auto"/>
              <w:ind w:left="0" w:leftChars="0" w:firstLine="0" w:firstLineChars="0"/>
              <w:jc w:val="both"/>
              <w:rPr>
                <w:rFonts w:hint="default"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zh-CN" w:eastAsia="zh-CN"/>
              </w:rPr>
              <w:t>变电所均采用砖混结构，耐火等级为二级。</w:t>
            </w:r>
          </w:p>
        </w:tc>
        <w:tc>
          <w:tcPr>
            <w:tcW w:w="716" w:type="dxa"/>
            <w:noWrap w:val="0"/>
            <w:vAlign w:val="center"/>
          </w:tcPr>
          <w:p>
            <w:pPr>
              <w:spacing w:line="360" w:lineRule="auto"/>
              <w:ind w:left="-46" w:leftChars="-22" w:right="-63" w:rightChars="-30"/>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eastAsia" w:ascii="Times New Roman" w:hAnsi="Times New Roman" w:eastAsia="宋体" w:cs="Times New Roman"/>
                <w:iCs/>
                <w:color w:val="000000"/>
                <w:kern w:val="2"/>
                <w:sz w:val="21"/>
                <w:szCs w:val="21"/>
                <w:lang w:val="en-US" w:eastAsia="zh-CN" w:bidi="ar-SA"/>
              </w:rPr>
            </w:pPr>
            <w:r>
              <w:rPr>
                <w:rFonts w:hint="default" w:ascii="Times New Roman" w:hAnsi="Times New Roman" w:eastAsia="宋体" w:cs="Times New Roman"/>
                <w:iCs/>
                <w:color w:val="000000"/>
                <w:sz w:val="21"/>
                <w:szCs w:val="21"/>
              </w:rPr>
              <w:t>配电室门前是否设有挡鼠板</w:t>
            </w:r>
            <w:r>
              <w:rPr>
                <w:rFonts w:hint="eastAsia" w:cs="Times New Roman"/>
                <w:iCs/>
                <w:color w:val="000000"/>
                <w:sz w:val="21"/>
                <w:szCs w:val="21"/>
                <w:lang w:val="en-US" w:eastAsia="zh-CN"/>
              </w:rPr>
              <w:t>。</w:t>
            </w:r>
          </w:p>
        </w:tc>
        <w:tc>
          <w:tcPr>
            <w:tcW w:w="2362"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auto"/>
                <w:spacing w:val="0"/>
                <w:kern w:val="2"/>
                <w:sz w:val="21"/>
                <w:szCs w:val="21"/>
                <w:lang w:val="en-US" w:eastAsia="zh-CN"/>
              </w:rPr>
            </w:pPr>
            <w:r>
              <w:rPr>
                <w:rFonts w:hint="default" w:ascii="Times New Roman" w:hAnsi="Times New Roman" w:eastAsia="宋体" w:cs="Times New Roman"/>
                <w:color w:val="auto"/>
                <w:spacing w:val="0"/>
                <w:kern w:val="2"/>
                <w:sz w:val="21"/>
                <w:szCs w:val="21"/>
                <w:lang w:val="en-US" w:eastAsia="zh-CN"/>
              </w:rPr>
              <w:t>《</w:t>
            </w:r>
            <w:r>
              <w:rPr>
                <w:rFonts w:hint="eastAsia" w:ascii="Times New Roman" w:hAnsi="Times New Roman" w:eastAsia="宋体" w:cs="Times New Roman"/>
                <w:color w:val="auto"/>
                <w:spacing w:val="0"/>
                <w:kern w:val="2"/>
                <w:sz w:val="21"/>
                <w:szCs w:val="21"/>
                <w:lang w:val="en-US" w:eastAsia="zh-CN"/>
              </w:rPr>
              <w:t>20kV及以下变电所设计规范</w:t>
            </w:r>
            <w:r>
              <w:rPr>
                <w:rFonts w:hint="default" w:ascii="Times New Roman" w:hAnsi="Times New Roman" w:eastAsia="宋体" w:cs="Times New Roman"/>
                <w:color w:val="auto"/>
                <w:spacing w:val="0"/>
                <w:kern w:val="2"/>
                <w:sz w:val="21"/>
                <w:szCs w:val="21"/>
                <w:lang w:val="en-US" w:eastAsia="zh-CN"/>
              </w:rPr>
              <w:t>》</w:t>
            </w:r>
            <w:r>
              <w:rPr>
                <w:rFonts w:hint="eastAsia" w:ascii="Times New Roman" w:hAnsi="Times New Roman" w:eastAsia="宋体" w:cs="Times New Roman"/>
                <w:color w:val="auto"/>
                <w:spacing w:val="0"/>
                <w:kern w:val="2"/>
                <w:sz w:val="21"/>
                <w:szCs w:val="21"/>
                <w:lang w:val="en-US" w:eastAsia="zh-CN"/>
              </w:rPr>
              <w:t>（GB 50053-</w:t>
            </w:r>
          </w:p>
          <w:p>
            <w:pPr>
              <w:snapToGrid/>
              <w:spacing w:line="240" w:lineRule="auto"/>
              <w:ind w:left="0" w:leftChars="0" w:firstLine="0" w:firstLineChars="0"/>
              <w:jc w:val="center"/>
              <w:rPr>
                <w:rFonts w:hint="eastAsia" w:ascii="Times New Roman" w:hAnsi="Times New Roman" w:eastAsia="宋体" w:cs="Times New Roman"/>
                <w:color w:val="auto"/>
                <w:spacing w:val="0"/>
                <w:kern w:val="2"/>
                <w:sz w:val="21"/>
                <w:szCs w:val="21"/>
                <w:lang w:val="en-US" w:eastAsia="zh-CN"/>
              </w:rPr>
            </w:pPr>
            <w:r>
              <w:rPr>
                <w:rFonts w:hint="eastAsia" w:ascii="Times New Roman" w:hAnsi="Times New Roman" w:eastAsia="宋体" w:cs="Times New Roman"/>
                <w:color w:val="auto"/>
                <w:spacing w:val="0"/>
                <w:kern w:val="2"/>
                <w:sz w:val="21"/>
                <w:szCs w:val="21"/>
                <w:lang w:val="en-US" w:eastAsia="zh-CN"/>
              </w:rPr>
              <w:t>2013）</w:t>
            </w:r>
            <w:r>
              <w:rPr>
                <w:rFonts w:hint="default" w:ascii="Times New Roman" w:hAnsi="Times New Roman" w:eastAsia="宋体" w:cs="Times New Roman"/>
                <w:color w:val="auto"/>
                <w:spacing w:val="0"/>
                <w:kern w:val="2"/>
                <w:sz w:val="21"/>
                <w:szCs w:val="21"/>
                <w:lang w:val="en-US" w:eastAsia="zh-CN"/>
              </w:rPr>
              <w:t>第6.2.4条</w:t>
            </w:r>
          </w:p>
        </w:tc>
        <w:tc>
          <w:tcPr>
            <w:tcW w:w="2319" w:type="dxa"/>
            <w:noWrap w:val="0"/>
            <w:vAlign w:val="center"/>
          </w:tcPr>
          <w:p>
            <w:pPr>
              <w:spacing w:line="240" w:lineRule="auto"/>
              <w:jc w:val="both"/>
              <w:rPr>
                <w:rFonts w:hint="eastAsia" w:ascii="Times New Roman" w:hAnsi="Times New Roman" w:eastAsia="宋体" w:cs="Times New Roman"/>
                <w:color w:val="000000"/>
                <w:kern w:val="2"/>
                <w:sz w:val="21"/>
                <w:szCs w:val="21"/>
                <w:lang w:val="zh-CN" w:eastAsia="zh-CN" w:bidi="ar-SA"/>
              </w:rPr>
            </w:pPr>
            <w:r>
              <w:rPr>
                <w:rFonts w:hint="default" w:ascii="Times New Roman" w:hAnsi="Times New Roman" w:eastAsia="宋体" w:cs="Times New Roman"/>
                <w:color w:val="000000"/>
                <w:sz w:val="21"/>
                <w:szCs w:val="21"/>
              </w:rPr>
              <w:t>已设置挡鼠板。</w:t>
            </w:r>
          </w:p>
        </w:tc>
        <w:tc>
          <w:tcPr>
            <w:tcW w:w="716" w:type="dxa"/>
            <w:noWrap w:val="0"/>
            <w:vAlign w:val="center"/>
          </w:tcPr>
          <w:p>
            <w:pPr>
              <w:spacing w:line="240" w:lineRule="auto"/>
              <w:ind w:left="-46" w:leftChars="-22" w:right="-63" w:rightChars="-30"/>
              <w:jc w:val="center"/>
              <w:rPr>
                <w:rFonts w:hint="eastAsia"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color w:val="auto"/>
                <w:sz w:val="21"/>
                <w:szCs w:val="21"/>
              </w:rPr>
              <w:t>配电室应设置消防应急照明灯具。</w:t>
            </w:r>
          </w:p>
        </w:tc>
        <w:tc>
          <w:tcPr>
            <w:tcW w:w="2362" w:type="dxa"/>
            <w:noWrap w:val="0"/>
            <w:vAlign w:val="center"/>
          </w:tcPr>
          <w:p>
            <w:pPr>
              <w:spacing w:line="240" w:lineRule="auto"/>
              <w:jc w:val="center"/>
              <w:rPr>
                <w:rFonts w:hint="eastAsia" w:ascii="Times New Roman" w:hAnsi="Times New Roman" w:eastAsia="宋体" w:cs="Times New Roman"/>
                <w:color w:val="auto"/>
                <w:kern w:val="2"/>
                <w:sz w:val="21"/>
                <w:szCs w:val="21"/>
                <w:lang w:val="en-US" w:eastAsia="zh-CN" w:bidi="en-US"/>
              </w:rPr>
            </w:pPr>
            <w:r>
              <w:rPr>
                <w:rFonts w:hint="default" w:ascii="Times New Roman" w:hAnsi="Times New Roman" w:eastAsia="宋体" w:cs="Times New Roman"/>
                <w:bCs/>
                <w:snapToGrid/>
                <w:color w:val="000000"/>
                <w:w w:val="100"/>
                <w:kern w:val="28"/>
                <w:sz w:val="21"/>
                <w:szCs w:val="21"/>
                <w:lang w:val="en-US" w:eastAsia="zh-CN" w:bidi="ar-SA"/>
              </w:rPr>
              <w:t>《建筑设计防火规范》</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bCs/>
                <w:snapToGrid/>
                <w:color w:val="000000"/>
                <w:w w:val="100"/>
                <w:kern w:val="28"/>
                <w:sz w:val="21"/>
                <w:szCs w:val="21"/>
                <w:lang w:val="en-US" w:eastAsia="zh-CN" w:bidi="ar-SA"/>
              </w:rPr>
              <w:t>GB50016-2014[2018年版]</w:t>
            </w:r>
            <w:r>
              <w:rPr>
                <w:rFonts w:hint="eastAsia" w:cs="Times New Roman"/>
                <w:bCs/>
                <w:snapToGrid/>
                <w:color w:val="000000"/>
                <w:w w:val="100"/>
                <w:kern w:val="28"/>
                <w:sz w:val="21"/>
                <w:szCs w:val="21"/>
                <w:lang w:val="en-US" w:eastAsia="zh-CN" w:bidi="ar-SA"/>
              </w:rPr>
              <w:t>）</w:t>
            </w:r>
            <w:r>
              <w:rPr>
                <w:rFonts w:hint="default" w:ascii="Times New Roman" w:hAnsi="Times New Roman" w:eastAsia="宋体" w:cs="Times New Roman"/>
                <w:color w:val="auto"/>
                <w:sz w:val="21"/>
                <w:szCs w:val="21"/>
              </w:rPr>
              <w:t>第10.3.3条</w:t>
            </w:r>
          </w:p>
        </w:tc>
        <w:tc>
          <w:tcPr>
            <w:tcW w:w="2319" w:type="dxa"/>
            <w:noWrap w:val="0"/>
            <w:vAlign w:val="center"/>
          </w:tcPr>
          <w:p>
            <w:pPr>
              <w:spacing w:line="240" w:lineRule="auto"/>
              <w:jc w:val="both"/>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eastAsia="宋体" w:cs="Times New Roman"/>
                <w:color w:val="auto"/>
                <w:kern w:val="2"/>
                <w:sz w:val="21"/>
                <w:szCs w:val="21"/>
                <w:lang w:val="en-US" w:eastAsia="zh-CN" w:bidi="en-US"/>
              </w:rPr>
              <w:t>配电室设置了应急照明</w:t>
            </w:r>
            <w:r>
              <w:rPr>
                <w:rFonts w:hint="eastAsia" w:cs="Times New Roman"/>
                <w:color w:val="auto"/>
                <w:kern w:val="2"/>
                <w:sz w:val="21"/>
                <w:szCs w:val="21"/>
                <w:lang w:val="en-US" w:eastAsia="zh-CN" w:bidi="en-US"/>
              </w:rPr>
              <w:t>。</w:t>
            </w:r>
          </w:p>
        </w:tc>
        <w:tc>
          <w:tcPr>
            <w:tcW w:w="71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en-US"/>
              </w:rPr>
            </w:pPr>
            <w:r>
              <w:rPr>
                <w:rFonts w:hint="default" w:ascii="Times New Roman" w:hAnsi="Times New Roman" w:eastAsia="宋体" w:cs="Times New Roman"/>
                <w:color w:val="auto"/>
                <w:kern w:val="2"/>
                <w:sz w:val="21"/>
                <w:szCs w:val="21"/>
                <w:lang w:val="en-US" w:eastAsia="zh-CN" w:bidi="en-US"/>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在有人的一般场所，有危险电位的裸带电体应加遮护或置于人的伸臂范围以外</w:t>
            </w:r>
            <w:r>
              <w:rPr>
                <w:rFonts w:hint="eastAsia" w:ascii="Times New Roman" w:hAnsi="Times New Roman" w:eastAsia="宋体" w:cs="Times New Roman"/>
                <w:bCs/>
                <w:color w:val="000000" w:themeColor="text1"/>
                <w:sz w:val="21"/>
                <w:szCs w:val="21"/>
                <w:lang w:eastAsia="zh-CN"/>
                <w14:textFill>
                  <w14:solidFill>
                    <w14:schemeClr w14:val="tx1"/>
                  </w14:solidFill>
                </w14:textFill>
              </w:rPr>
              <w:t>。</w:t>
            </w:r>
          </w:p>
        </w:tc>
        <w:tc>
          <w:tcPr>
            <w:tcW w:w="2362"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《低压配电设计规范》</w:t>
            </w:r>
            <w:r>
              <w:rPr>
                <w:rFonts w:hint="eastAsia" w:cs="Times New Roman"/>
                <w:color w:val="000000" w:themeColor="text1"/>
                <w:spacing w:val="0"/>
                <w:kern w:val="2"/>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GB50054-2011</w:t>
            </w:r>
            <w:r>
              <w:rPr>
                <w:rFonts w:hint="eastAsia" w:cs="Times New Roman"/>
                <w:color w:val="000000" w:themeColor="text1"/>
                <w:spacing w:val="0"/>
                <w:kern w:val="2"/>
                <w:sz w:val="21"/>
                <w:szCs w:val="21"/>
                <w:lang w:val="en-US" w:eastAsia="zh-CN"/>
                <w14:textFill>
                  <w14:solidFill>
                    <w14:schemeClr w14:val="tx1"/>
                  </w14:solidFill>
                </w14:textFill>
              </w:rPr>
              <w:t>）</w:t>
            </w:r>
          </w:p>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第5.1.2条</w:t>
            </w:r>
          </w:p>
        </w:tc>
        <w:tc>
          <w:tcPr>
            <w:tcW w:w="2319" w:type="dxa"/>
            <w:noWrap w:val="0"/>
            <w:vAlign w:val="center"/>
          </w:tcPr>
          <w:p>
            <w:pPr>
              <w:pStyle w:val="78"/>
              <w:adjustRightInd w:val="0"/>
              <w:spacing w:line="240" w:lineRule="auto"/>
              <w:ind w:firstLine="0" w:firstLineChars="0"/>
              <w:jc w:val="both"/>
              <w:rPr>
                <w:rFonts w:hint="default" w:ascii="Times New Roman" w:hAnsi="Times New Roman" w:eastAsia="宋体" w:cs="Times New Roman"/>
                <w:bCs/>
                <w:color w:val="000000" w:themeColor="text1"/>
                <w:kern w:val="2"/>
                <w:sz w:val="21"/>
                <w:szCs w:val="21"/>
                <w:lang w:val="en-US" w:eastAsia="zh-CN" w:bidi="ar-SA"/>
                <w14:textFill>
                  <w14:solidFill>
                    <w14:schemeClr w14:val="tx1"/>
                  </w14:solidFill>
                </w14:textFill>
              </w:rPr>
            </w:pPr>
            <w:r>
              <w:rPr>
                <w:rFonts w:hint="eastAsia" w:cs="Times New Roman"/>
                <w:bCs/>
                <w:color w:val="000000" w:themeColor="text1"/>
                <w:sz w:val="21"/>
                <w:szCs w:val="21"/>
                <w:lang w:eastAsia="zh-CN"/>
                <w14:textFill>
                  <w14:solidFill>
                    <w14:schemeClr w14:val="tx1"/>
                  </w14:solidFill>
                </w14:textFill>
              </w:rPr>
              <w:t>个别电控箱缺少防护盖</w:t>
            </w:r>
            <w:r>
              <w:rPr>
                <w:rFonts w:hint="eastAsia" w:cs="Times New Roman"/>
                <w:bCs/>
                <w:color w:val="000000" w:themeColor="text1"/>
                <w:kern w:val="2"/>
                <w:sz w:val="21"/>
                <w:szCs w:val="21"/>
                <w:lang w:val="en-US" w:eastAsia="zh-CN" w:bidi="ar-SA"/>
                <w14:textFill>
                  <w14:solidFill>
                    <w14:schemeClr w14:val="tx1"/>
                  </w14:solidFill>
                </w14:textFill>
              </w:rPr>
              <w:t>。</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不</w:t>
            </w: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3276" w:type="dxa"/>
            <w:noWrap w:val="0"/>
            <w:vAlign w:val="center"/>
          </w:tcPr>
          <w:p>
            <w:pPr>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配电线路应装设短路保护和过负荷保护。</w:t>
            </w:r>
          </w:p>
        </w:tc>
        <w:tc>
          <w:tcPr>
            <w:tcW w:w="2362"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《低压配电设计规范》</w:t>
            </w:r>
            <w:r>
              <w:rPr>
                <w:rFonts w:hint="eastAsia" w:cs="Times New Roman"/>
                <w:color w:val="000000" w:themeColor="text1"/>
                <w:spacing w:val="0"/>
                <w:kern w:val="2"/>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GB50054-2011</w:t>
            </w:r>
            <w:r>
              <w:rPr>
                <w:rFonts w:hint="eastAsia" w:cs="Times New Roman"/>
                <w:color w:val="000000" w:themeColor="text1"/>
                <w:spacing w:val="0"/>
                <w:kern w:val="2"/>
                <w:sz w:val="21"/>
                <w:szCs w:val="21"/>
                <w:lang w:val="en-US" w:eastAsia="zh-CN"/>
                <w14:textFill>
                  <w14:solidFill>
                    <w14:schemeClr w14:val="tx1"/>
                  </w14:solidFill>
                </w14:textFill>
              </w:rPr>
              <w:t>）</w:t>
            </w:r>
          </w:p>
          <w:p>
            <w:pPr>
              <w:snapToGrid/>
              <w:spacing w:line="240" w:lineRule="auto"/>
              <w:ind w:left="0" w:leftChars="0" w:firstLine="0" w:firstLineChars="0"/>
              <w:jc w:val="cente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14:textFill>
                  <w14:solidFill>
                    <w14:schemeClr w14:val="tx1"/>
                  </w14:solidFill>
                </w14:textFill>
              </w:rPr>
              <w:t>第6.1.1条</w:t>
            </w:r>
          </w:p>
        </w:tc>
        <w:tc>
          <w:tcPr>
            <w:tcW w:w="2319" w:type="dxa"/>
            <w:noWrap w:val="0"/>
            <w:vAlign w:val="center"/>
          </w:tcPr>
          <w:p>
            <w:p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配电线路装设短路保护和过负荷保护</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3276" w:type="dxa"/>
            <w:noWrap w:val="0"/>
            <w:vAlign w:val="center"/>
          </w:tcPr>
          <w:p>
            <w:pPr>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配电线路的敷设，应符合下列条件：</w:t>
            </w:r>
          </w:p>
          <w:p>
            <w:pPr>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1与场所环境的特征相适应；</w:t>
            </w:r>
          </w:p>
          <w:p>
            <w:pPr>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2与建筑物和构筑物的特征相适应；</w:t>
            </w:r>
          </w:p>
          <w:p>
            <w:pPr>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3能承受短路可能出现的机电应力；</w:t>
            </w:r>
          </w:p>
          <w:p>
            <w:pPr>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4能承受安装期间或运行中布线可能遭受的其他应力和导线的自重。</w:t>
            </w:r>
          </w:p>
        </w:tc>
        <w:tc>
          <w:tcPr>
            <w:tcW w:w="2362" w:type="dxa"/>
            <w:noWrap w:val="0"/>
            <w:vAlign w:val="center"/>
          </w:tcPr>
          <w:p>
            <w:pPr>
              <w:snapToGrid/>
              <w:spacing w:line="240" w:lineRule="auto"/>
              <w:ind w:left="0" w:leftChars="0" w:firstLine="0" w:firstLineChars="0"/>
              <w:jc w:val="cente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《低压配电设计规范》</w:t>
            </w:r>
            <w:r>
              <w:rPr>
                <w:rFonts w:hint="eastAsia" w:cs="Times New Roman"/>
                <w:color w:val="000000" w:themeColor="text1"/>
                <w:spacing w:val="0"/>
                <w:kern w:val="2"/>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pacing w:val="0"/>
                <w:kern w:val="2"/>
                <w:sz w:val="21"/>
                <w:szCs w:val="21"/>
                <w:lang w:val="en-US" w:eastAsia="zh-CN"/>
                <w14:textFill>
                  <w14:solidFill>
                    <w14:schemeClr w14:val="tx1"/>
                  </w14:solidFill>
                </w14:textFill>
              </w:rPr>
              <w:t>GB50054-2011</w:t>
            </w:r>
            <w:r>
              <w:rPr>
                <w:rFonts w:hint="eastAsia" w:cs="Times New Roman"/>
                <w:color w:val="000000" w:themeColor="text1"/>
                <w:spacing w:val="0"/>
                <w:kern w:val="2"/>
                <w:sz w:val="21"/>
                <w:szCs w:val="21"/>
                <w:lang w:val="en-US" w:eastAsia="zh-CN"/>
                <w14:textFill>
                  <w14:solidFill>
                    <w14:schemeClr w14:val="tx1"/>
                  </w14:solidFill>
                </w14:textFill>
              </w:rPr>
              <w:t>）</w:t>
            </w:r>
          </w:p>
          <w:p>
            <w:pPr>
              <w:pStyle w:val="17"/>
              <w:adjustRightInd w:val="0"/>
              <w:spacing w:after="0" w:line="240" w:lineRule="auto"/>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第7.1.</w:t>
            </w:r>
            <w:r>
              <w:rPr>
                <w:rFonts w:hint="eastAsia" w:cs="Times New Roman"/>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14:textFill>
                  <w14:solidFill>
                    <w14:schemeClr w14:val="tx1"/>
                  </w14:solidFill>
                </w14:textFill>
              </w:rPr>
              <w:t>条</w:t>
            </w:r>
          </w:p>
        </w:tc>
        <w:tc>
          <w:tcPr>
            <w:tcW w:w="2319" w:type="dxa"/>
            <w:noWrap w:val="0"/>
            <w:vAlign w:val="center"/>
          </w:tcPr>
          <w:p>
            <w:pPr>
              <w:spacing w:line="240" w:lineRule="auto"/>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配电线路的敷设</w:t>
            </w:r>
            <w:r>
              <w:rPr>
                <w:rFonts w:hint="eastAsia" w:ascii="Times New Roman" w:hAnsi="Times New Roman" w:cs="Times New Roman"/>
                <w:bCs/>
                <w:color w:val="000000" w:themeColor="text1"/>
                <w:sz w:val="21"/>
                <w:szCs w:val="21"/>
                <w:lang w:val="en-US" w:eastAsia="zh-CN"/>
                <w14:textFill>
                  <w14:solidFill>
                    <w14:schemeClr w14:val="tx1"/>
                  </w14:solidFill>
                </w14:textFill>
              </w:rPr>
              <w:t>符合要求</w:t>
            </w:r>
            <w:r>
              <w:rPr>
                <w:rFonts w:hint="eastAsia" w:cs="Times New Roman"/>
                <w:color w:val="000000" w:themeColor="text1"/>
                <w:sz w:val="21"/>
                <w:szCs w:val="21"/>
                <w:lang w:eastAsia="zh-CN"/>
                <w14:textFill>
                  <w14:solidFill>
                    <w14:schemeClr w14:val="tx1"/>
                  </w14:solidFill>
                </w14:textFill>
              </w:rPr>
              <w:t>。</w:t>
            </w:r>
          </w:p>
        </w:tc>
        <w:tc>
          <w:tcPr>
            <w:tcW w:w="716" w:type="dxa"/>
            <w:noWrap w:val="0"/>
            <w:vAlign w:val="center"/>
          </w:tcPr>
          <w:p>
            <w:pPr>
              <w:spacing w:line="240" w:lineRule="auto"/>
              <w:ind w:left="-46" w:leftChars="-22" w:right="-63" w:rightChars="-3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配电线路的敷设应防止外部的机械性损害而带来的影响；也应防止在使用过程中因水的侵入或因进入固体物而带来的损害。</w:t>
            </w:r>
          </w:p>
        </w:tc>
        <w:tc>
          <w:tcPr>
            <w:tcW w:w="2362" w:type="dxa"/>
            <w:noWrap w:val="0"/>
            <w:vAlign w:val="center"/>
          </w:tcPr>
          <w:p>
            <w:pPr>
              <w:spacing w:line="240" w:lineRule="auto"/>
              <w:jc w:val="center"/>
              <w:rPr>
                <w:rFonts w:hint="eastAsia" w:ascii="Times New Roman" w:hAnsi="Times New Roman" w:eastAsia="宋体" w:cs="Times New Roman"/>
                <w:bCs/>
                <w:snapToGrid/>
                <w:color w:val="000000"/>
                <w:w w:val="100"/>
                <w:kern w:val="28"/>
                <w:sz w:val="21"/>
                <w:szCs w:val="21"/>
                <w:lang w:val="en-US" w:eastAsia="zh-CN" w:bidi="ar-SA"/>
              </w:rPr>
            </w:pPr>
            <w:r>
              <w:rPr>
                <w:rFonts w:hint="eastAsia" w:ascii="Times New Roman" w:hAnsi="Times New Roman" w:eastAsia="宋体" w:cs="Times New Roman"/>
                <w:bCs/>
                <w:snapToGrid/>
                <w:color w:val="000000"/>
                <w:w w:val="100"/>
                <w:kern w:val="28"/>
                <w:sz w:val="21"/>
                <w:szCs w:val="21"/>
                <w:lang w:val="en-US" w:eastAsia="zh-CN" w:bidi="ar-SA"/>
              </w:rPr>
              <w:t>《低压配电设计规范》（GB50054-2011）</w:t>
            </w:r>
          </w:p>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default" w:ascii="Times New Roman" w:hAnsi="Times New Roman" w:eastAsia="宋体" w:cs="Times New Roman"/>
                <w:bCs/>
                <w:snapToGrid/>
                <w:color w:val="000000"/>
                <w:w w:val="100"/>
                <w:kern w:val="28"/>
                <w:sz w:val="21"/>
                <w:szCs w:val="21"/>
                <w:lang w:val="en-US" w:eastAsia="zh-CN" w:bidi="ar-SA"/>
              </w:rPr>
              <w:t>第7.1.2条</w:t>
            </w:r>
          </w:p>
        </w:tc>
        <w:tc>
          <w:tcPr>
            <w:tcW w:w="2319"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配电线路的敷设穿管保护。</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000000"/>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用电产品以及电气线路的周围应留有足够的安全通道和工作空间，且不应堆放易燃、易爆和腐蚀性物品。</w:t>
            </w:r>
          </w:p>
        </w:tc>
        <w:tc>
          <w:tcPr>
            <w:tcW w:w="2362" w:type="dxa"/>
            <w:noWrap w:val="0"/>
            <w:vAlign w:val="center"/>
          </w:tcPr>
          <w:p>
            <w:pPr>
              <w:spacing w:line="240" w:lineRule="auto"/>
              <w:jc w:val="center"/>
              <w:rPr>
                <w:rFonts w:hint="eastAsia" w:ascii="Times New Roman" w:hAnsi="Times New Roman" w:eastAsia="宋体" w:cs="Times New Roman"/>
                <w:bCs/>
                <w:snapToGrid/>
                <w:color w:val="000000"/>
                <w:w w:val="100"/>
                <w:kern w:val="28"/>
                <w:sz w:val="21"/>
                <w:szCs w:val="21"/>
                <w:lang w:val="en-US" w:eastAsia="zh-CN" w:bidi="ar-SA"/>
              </w:rPr>
            </w:pPr>
            <w:r>
              <w:rPr>
                <w:rFonts w:hint="eastAsia" w:ascii="Times New Roman" w:hAnsi="Times New Roman" w:eastAsia="宋体" w:cs="Times New Roman"/>
                <w:bCs/>
                <w:snapToGrid/>
                <w:color w:val="000000"/>
                <w:w w:val="100"/>
                <w:kern w:val="28"/>
                <w:sz w:val="21"/>
                <w:szCs w:val="21"/>
                <w:lang w:val="en-US" w:eastAsia="zh-CN" w:bidi="ar-SA"/>
              </w:rPr>
              <w:t>《用电安全导则》（GB/T13869-2017）</w:t>
            </w:r>
          </w:p>
          <w:p>
            <w:pPr>
              <w:spacing w:line="240" w:lineRule="auto"/>
              <w:jc w:val="center"/>
              <w:rPr>
                <w:rFonts w:hint="default" w:ascii="Times New Roman" w:hAnsi="Times New Roman" w:eastAsia="宋体" w:cs="Times New Roman"/>
                <w:bCs/>
                <w:snapToGrid/>
                <w:color w:val="000000"/>
                <w:w w:val="100"/>
                <w:kern w:val="28"/>
                <w:sz w:val="21"/>
                <w:szCs w:val="21"/>
                <w:lang w:val="en-US" w:eastAsia="zh-CN" w:bidi="ar-SA"/>
              </w:rPr>
            </w:pPr>
            <w:r>
              <w:rPr>
                <w:rFonts w:hint="eastAsia" w:ascii="Times New Roman" w:hAnsi="Times New Roman" w:eastAsia="宋体" w:cs="Times New Roman"/>
                <w:bCs/>
                <w:snapToGrid/>
                <w:color w:val="000000"/>
                <w:w w:val="100"/>
                <w:kern w:val="28"/>
                <w:sz w:val="21"/>
                <w:szCs w:val="21"/>
                <w:lang w:val="en-US" w:eastAsia="zh-CN" w:bidi="ar-SA"/>
              </w:rPr>
              <w:t>第5.1.1条</w:t>
            </w:r>
          </w:p>
        </w:tc>
        <w:tc>
          <w:tcPr>
            <w:tcW w:w="2319"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用电产品以及电气线路的周围留有安全通道和工作空间。</w:t>
            </w:r>
          </w:p>
        </w:tc>
        <w:tc>
          <w:tcPr>
            <w:tcW w:w="716" w:type="dxa"/>
            <w:noWrap w:val="0"/>
            <w:vAlign w:val="center"/>
          </w:tcPr>
          <w:p>
            <w:pPr>
              <w:spacing w:line="360" w:lineRule="auto"/>
              <w:ind w:left="-46" w:leftChars="-22" w:right="-63" w:rightChars="-30"/>
              <w:jc w:val="center"/>
              <w:rPr>
                <w:rFonts w:hint="default"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7" w:type="dxa"/>
            <w:gridSpan w:val="5"/>
            <w:noWrap w:val="0"/>
            <w:vAlign w:val="center"/>
          </w:tcPr>
          <w:p>
            <w:pPr>
              <w:numPr>
                <w:ilvl w:val="0"/>
                <w:numId w:val="0"/>
              </w:numPr>
              <w:spacing w:line="240" w:lineRule="auto"/>
              <w:ind w:leftChars="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rPr>
              <w:t>防雷</w:t>
            </w:r>
            <w:r>
              <w:rPr>
                <w:rFonts w:hint="default" w:ascii="Times New Roman" w:hAnsi="Times New Roman" w:eastAsia="宋体" w:cs="Times New Roman"/>
                <w:b/>
                <w:bCs w:val="0"/>
                <w:color w:val="auto"/>
                <w:sz w:val="21"/>
                <w:szCs w:val="21"/>
                <w:lang w:eastAsia="zh-CN"/>
              </w:rPr>
              <w:t>、防静电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ind w:left="-48" w:leftChars="-23"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化工装置、设备、设施、储罐以及建（构）筑物的防雷设计应符合现行国家标准《建筑物防雷设计规范》和《石油化工装置防雷设计规范》等的有关规定。</w:t>
            </w:r>
          </w:p>
        </w:tc>
        <w:tc>
          <w:tcPr>
            <w:tcW w:w="2362" w:type="dxa"/>
            <w:noWrap w:val="0"/>
            <w:vAlign w:val="center"/>
          </w:tcPr>
          <w:p>
            <w:pPr>
              <w:spacing w:line="240" w:lineRule="auto"/>
              <w:jc w:val="center"/>
              <w:rPr>
                <w:rFonts w:hint="default" w:ascii="Times New Roman" w:hAnsi="Times New Roman" w:eastAsia="宋体" w:cs="Times New Roman"/>
                <w:bCs/>
                <w:color w:val="auto"/>
                <w:sz w:val="21"/>
                <w:szCs w:val="21"/>
                <w:lang w:val="zh-CN"/>
              </w:rPr>
            </w:pPr>
            <w:r>
              <w:rPr>
                <w:rFonts w:hint="default" w:ascii="Times New Roman" w:hAnsi="Times New Roman" w:eastAsia="宋体" w:cs="Times New Roman"/>
                <w:bCs/>
                <w:color w:val="auto"/>
                <w:sz w:val="21"/>
                <w:szCs w:val="21"/>
                <w:lang w:val="zh-CN"/>
              </w:rPr>
              <w:t>《化工企业安全卫生设计规范》</w:t>
            </w:r>
            <w:r>
              <w:rPr>
                <w:rFonts w:hint="eastAsia" w:cs="Times New Roman"/>
                <w:bCs/>
                <w:color w:val="auto"/>
                <w:sz w:val="21"/>
                <w:szCs w:val="21"/>
                <w:lang w:val="zh-CN"/>
              </w:rPr>
              <w:t>（</w:t>
            </w:r>
            <w:r>
              <w:rPr>
                <w:rFonts w:hint="default" w:ascii="Times New Roman" w:hAnsi="Times New Roman" w:eastAsia="宋体" w:cs="Times New Roman"/>
                <w:bCs/>
                <w:color w:val="auto"/>
                <w:sz w:val="21"/>
                <w:szCs w:val="21"/>
                <w:lang w:val="zh-CN"/>
              </w:rPr>
              <w:t>HG20571-</w:t>
            </w:r>
          </w:p>
          <w:p>
            <w:pPr>
              <w:pStyle w:val="17"/>
              <w:adjustRightInd w:val="0"/>
              <w:spacing w:after="0"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zh-CN"/>
              </w:rPr>
              <w:t>2014</w:t>
            </w:r>
            <w:r>
              <w:rPr>
                <w:rFonts w:hint="eastAsia" w:cs="Times New Roman"/>
                <w:bCs/>
                <w:color w:val="auto"/>
                <w:sz w:val="21"/>
                <w:szCs w:val="21"/>
                <w:lang w:val="zh-CN"/>
              </w:rPr>
              <w:t>）</w:t>
            </w:r>
            <w:r>
              <w:rPr>
                <w:rFonts w:hint="default" w:ascii="Times New Roman" w:hAnsi="Times New Roman" w:eastAsia="宋体" w:cs="Times New Roman"/>
                <w:color w:val="auto"/>
                <w:sz w:val="21"/>
                <w:szCs w:val="21"/>
              </w:rPr>
              <w:t>第3.3.1条</w:t>
            </w:r>
          </w:p>
        </w:tc>
        <w:tc>
          <w:tcPr>
            <w:tcW w:w="2319"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化工装置、设备、设施以及建（构）筑物设置了防雷保护装置，并</w:t>
            </w:r>
            <w:r>
              <w:rPr>
                <w:rFonts w:hint="default" w:ascii="Times New Roman" w:hAnsi="Times New Roman" w:eastAsia="宋体" w:cs="Times New Roman"/>
                <w:color w:val="auto"/>
                <w:kern w:val="0"/>
                <w:sz w:val="21"/>
                <w:szCs w:val="21"/>
                <w:lang w:eastAsia="zh-CN"/>
              </w:rPr>
              <w:t>进行了</w:t>
            </w:r>
            <w:r>
              <w:rPr>
                <w:rFonts w:hint="default" w:ascii="Times New Roman" w:hAnsi="Times New Roman" w:eastAsia="宋体" w:cs="Times New Roman"/>
                <w:color w:val="auto"/>
                <w:kern w:val="0"/>
                <w:sz w:val="21"/>
                <w:szCs w:val="21"/>
              </w:rPr>
              <w:t>防雷检测。</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lang w:bidi="en-US"/>
              </w:rPr>
              <w:t>化工装置在爆炸、火灾危险场所内可能产生静电危险的金属设备、管道等应设置静电接地，不允许设备及设备内部件有与地相绝缘的金属体</w:t>
            </w:r>
            <w:r>
              <w:rPr>
                <w:rFonts w:hint="eastAsia" w:ascii="Times New Roman" w:hAnsi="Times New Roman" w:eastAsia="宋体" w:cs="Times New Roman"/>
                <w:bCs/>
                <w:color w:val="auto"/>
                <w:sz w:val="21"/>
                <w:szCs w:val="21"/>
                <w:lang w:eastAsia="zh-CN" w:bidi="en-US"/>
              </w:rPr>
              <w:t>。</w:t>
            </w:r>
          </w:p>
        </w:tc>
        <w:tc>
          <w:tcPr>
            <w:tcW w:w="2362" w:type="dxa"/>
            <w:noWrap w:val="0"/>
            <w:vAlign w:val="center"/>
          </w:tcPr>
          <w:p>
            <w:pPr>
              <w:spacing w:line="240" w:lineRule="auto"/>
              <w:jc w:val="center"/>
              <w:rPr>
                <w:rFonts w:hint="default" w:ascii="Times New Roman" w:hAnsi="Times New Roman" w:eastAsia="宋体" w:cs="Times New Roman"/>
                <w:bCs/>
                <w:color w:val="auto"/>
                <w:sz w:val="21"/>
                <w:szCs w:val="21"/>
                <w:lang w:val="zh-CN"/>
              </w:rPr>
            </w:pPr>
            <w:r>
              <w:rPr>
                <w:rFonts w:hint="default" w:ascii="Times New Roman" w:hAnsi="Times New Roman" w:eastAsia="宋体" w:cs="Times New Roman"/>
                <w:bCs/>
                <w:color w:val="auto"/>
                <w:sz w:val="21"/>
                <w:szCs w:val="21"/>
                <w:lang w:val="zh-CN"/>
              </w:rPr>
              <w:t>《化工企业安全卫生设计规范》</w:t>
            </w:r>
            <w:r>
              <w:rPr>
                <w:rFonts w:hint="eastAsia" w:ascii="Times New Roman" w:hAnsi="Times New Roman" w:eastAsia="宋体" w:cs="Times New Roman"/>
                <w:bCs/>
                <w:color w:val="auto"/>
                <w:sz w:val="21"/>
                <w:szCs w:val="21"/>
                <w:lang w:val="zh-CN"/>
              </w:rPr>
              <w:t>（</w:t>
            </w:r>
            <w:r>
              <w:rPr>
                <w:rFonts w:hint="default" w:ascii="Times New Roman" w:hAnsi="Times New Roman" w:eastAsia="宋体" w:cs="Times New Roman"/>
                <w:bCs/>
                <w:color w:val="auto"/>
                <w:sz w:val="21"/>
                <w:szCs w:val="21"/>
                <w:lang w:val="zh-CN"/>
              </w:rPr>
              <w:t>HG20571-</w:t>
            </w:r>
          </w:p>
          <w:p>
            <w:pPr>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zh-CN"/>
              </w:rPr>
              <w:t>2014</w:t>
            </w:r>
            <w:r>
              <w:rPr>
                <w:rFonts w:hint="eastAsia" w:ascii="Times New Roman" w:hAnsi="Times New Roman" w:eastAsia="宋体" w:cs="Times New Roman"/>
                <w:bCs/>
                <w:color w:val="auto"/>
                <w:sz w:val="21"/>
                <w:szCs w:val="21"/>
                <w:lang w:val="zh-CN"/>
              </w:rPr>
              <w:t>）</w:t>
            </w:r>
            <w:r>
              <w:rPr>
                <w:rFonts w:hint="default" w:ascii="Times New Roman" w:hAnsi="Times New Roman" w:eastAsia="宋体" w:cs="Times New Roman"/>
                <w:bCs/>
                <w:color w:val="auto"/>
                <w:sz w:val="21"/>
                <w:szCs w:val="21"/>
                <w:lang w:val="zh-CN"/>
              </w:rPr>
              <w:t>第4.2.4条</w:t>
            </w:r>
          </w:p>
        </w:tc>
        <w:tc>
          <w:tcPr>
            <w:tcW w:w="2319" w:type="dxa"/>
            <w:noWrap w:val="0"/>
            <w:vAlign w:val="center"/>
          </w:tcPr>
          <w:p>
            <w:pPr>
              <w:spacing w:line="240" w:lineRule="auto"/>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Cs/>
                <w:color w:val="auto"/>
                <w:sz w:val="21"/>
                <w:szCs w:val="21"/>
                <w:lang w:bidi="en-US"/>
              </w:rPr>
              <w:t>可能产生静电危险的金属设备等均</w:t>
            </w:r>
            <w:r>
              <w:rPr>
                <w:rFonts w:hint="default" w:ascii="Times New Roman" w:hAnsi="Times New Roman" w:eastAsia="宋体" w:cs="Times New Roman"/>
                <w:bCs/>
                <w:color w:val="auto"/>
                <w:sz w:val="21"/>
                <w:szCs w:val="21"/>
                <w:lang w:eastAsia="zh-CN" w:bidi="en-US"/>
              </w:rPr>
              <w:t>设置</w:t>
            </w:r>
            <w:r>
              <w:rPr>
                <w:rFonts w:hint="default" w:ascii="Times New Roman" w:hAnsi="Times New Roman" w:eastAsia="宋体" w:cs="Times New Roman"/>
                <w:bCs/>
                <w:color w:val="auto"/>
                <w:sz w:val="21"/>
                <w:szCs w:val="21"/>
                <w:lang w:bidi="en-US"/>
              </w:rPr>
              <w:t>静电接地。</w:t>
            </w:r>
          </w:p>
        </w:tc>
        <w:tc>
          <w:tcPr>
            <w:tcW w:w="716" w:type="dxa"/>
            <w:noWrap w:val="0"/>
            <w:vAlign w:val="center"/>
          </w:tcPr>
          <w:p>
            <w:pPr>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p>
        </w:tc>
        <w:tc>
          <w:tcPr>
            <w:tcW w:w="3276" w:type="dxa"/>
            <w:noWrap w:val="0"/>
            <w:vAlign w:val="center"/>
          </w:tcPr>
          <w:p>
            <w:pPr>
              <w:spacing w:line="240" w:lineRule="auto"/>
              <w:ind w:left="-48" w:leftChars="-23" w:right="-63" w:rightChars="-30"/>
              <w:jc w:val="both"/>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如果在盖板、门、遮板等部件上装有电压值超过特低电压限值（ELV）的器件时，应采取附加措施，以保证接地连续性。</w:t>
            </w:r>
          </w:p>
        </w:tc>
        <w:tc>
          <w:tcPr>
            <w:tcW w:w="2362" w:type="dxa"/>
            <w:noWrap w:val="0"/>
            <w:vAlign w:val="center"/>
          </w:tcPr>
          <w:p>
            <w:pPr>
              <w:spacing w:line="240" w:lineRule="auto"/>
              <w:jc w:val="center"/>
              <w:rPr>
                <w:rFonts w:hint="eastAsia"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《低压成套开关设备和控制设备 第1部分：总则》</w:t>
            </w:r>
            <w:r>
              <w:rPr>
                <w:rFonts w:hint="eastAsia" w:cs="Times New Roman"/>
                <w:bCs/>
                <w:color w:val="000000" w:themeColor="text1"/>
                <w:sz w:val="21"/>
                <w:szCs w:val="21"/>
                <w:lang w:val="en-US" w:eastAsia="zh-CN"/>
                <w14:textFill>
                  <w14:solidFill>
                    <w14:schemeClr w14:val="tx1"/>
                  </w14:solidFill>
                </w14:textFill>
              </w:rPr>
              <w:t>（GB/T7251.1-</w:t>
            </w:r>
          </w:p>
          <w:p>
            <w:pPr>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2013）</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第8.4.3.2.2条</w:t>
            </w:r>
          </w:p>
        </w:tc>
        <w:tc>
          <w:tcPr>
            <w:tcW w:w="2319" w:type="dxa"/>
            <w:noWrap w:val="0"/>
            <w:vAlign w:val="center"/>
          </w:tcPr>
          <w:p>
            <w:pPr>
              <w:spacing w:line="240" w:lineRule="auto"/>
              <w:ind w:left="-48" w:leftChars="-23" w:right="-63" w:rightChars="-30"/>
              <w:jc w:val="both"/>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配电箱</w:t>
            </w:r>
            <w:r>
              <w:rPr>
                <w:rFonts w:hint="eastAsia" w:cs="Times New Roman"/>
                <w:color w:val="000000" w:themeColor="text1"/>
                <w:kern w:val="0"/>
                <w:sz w:val="21"/>
                <w:szCs w:val="21"/>
                <w:lang w:eastAsia="zh-CN"/>
                <w14:textFill>
                  <w14:solidFill>
                    <w14:schemeClr w14:val="tx1"/>
                  </w14:solidFill>
                </w14:textFill>
              </w:rPr>
              <w:t>的</w:t>
            </w: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控制柜</w:t>
            </w:r>
            <w:r>
              <w:rPr>
                <w:rFonts w:hint="default" w:ascii="Times New Roman" w:hAnsi="Times New Roman" w:eastAsia="宋体" w:cs="Times New Roman"/>
                <w:color w:val="000000" w:themeColor="text1"/>
                <w:kern w:val="0"/>
                <w:sz w:val="21"/>
                <w:szCs w:val="21"/>
                <w14:textFill>
                  <w14:solidFill>
                    <w14:schemeClr w14:val="tx1"/>
                  </w14:solidFill>
                </w14:textFill>
              </w:rPr>
              <w:t>门</w:t>
            </w:r>
            <w:r>
              <w:rPr>
                <w:rFonts w:hint="eastAsia" w:cs="Times New Roman"/>
                <w:color w:val="000000" w:themeColor="text1"/>
                <w:kern w:val="0"/>
                <w:sz w:val="21"/>
                <w:szCs w:val="21"/>
                <w:lang w:val="en-US" w:eastAsia="zh-CN"/>
                <w14:textFill>
                  <w14:solidFill>
                    <w14:schemeClr w14:val="tx1"/>
                  </w14:solidFill>
                </w14:textFill>
              </w:rPr>
              <w:t>已</w:t>
            </w: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做接地跨接</w:t>
            </w:r>
            <w:r>
              <w:rPr>
                <w:rFonts w:hint="eastAsia" w:ascii="Times New Roman" w:hAnsi="Times New Roman" w:eastAsia="宋体" w:cs="Times New Roman"/>
                <w:color w:val="000000" w:themeColor="text1"/>
                <w:kern w:val="0"/>
                <w:sz w:val="21"/>
                <w:szCs w:val="21"/>
                <w:lang w:eastAsia="zh-CN"/>
                <w14:textFill>
                  <w14:solidFill>
                    <w14:schemeClr w14:val="tx1"/>
                  </w14:solidFill>
                </w14:textFill>
              </w:rPr>
              <w:t>。</w:t>
            </w:r>
          </w:p>
        </w:tc>
        <w:tc>
          <w:tcPr>
            <w:tcW w:w="716" w:type="dxa"/>
            <w:noWrap w:val="0"/>
            <w:vAlign w:val="center"/>
          </w:tcPr>
          <w:p>
            <w:pPr>
              <w:spacing w:line="240" w:lineRule="auto"/>
              <w:ind w:left="-46" w:leftChars="-22" w:right="-63" w:rightChars="-3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adjustRightInd w:val="0"/>
              <w:snapToGrid w:val="0"/>
              <w:spacing w:line="240" w:lineRule="auto"/>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易燃易爆企业防雷装置必须每半年检测一次。防雷装置产权单位或使用单位，应当接受检测。</w:t>
            </w:r>
          </w:p>
        </w:tc>
        <w:tc>
          <w:tcPr>
            <w:tcW w:w="2362" w:type="dxa"/>
            <w:noWrap w:val="0"/>
            <w:vAlign w:val="center"/>
          </w:tcPr>
          <w:p>
            <w:pPr>
              <w:autoSpaceDE w:val="0"/>
              <w:autoSpaceDN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《辽宁省雷电灾害防御管理规定》第9条</w:t>
            </w:r>
          </w:p>
        </w:tc>
        <w:tc>
          <w:tcPr>
            <w:tcW w:w="2319" w:type="dxa"/>
            <w:noWrap w:val="0"/>
            <w:vAlign w:val="center"/>
          </w:tcPr>
          <w:p>
            <w:pPr>
              <w:autoSpaceDE w:val="0"/>
              <w:autoSpaceDN w:val="0"/>
              <w:snapToGrid w:val="0"/>
              <w:spacing w:line="240" w:lineRule="auto"/>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已取得防雷检测报告，详见附件。</w:t>
            </w:r>
          </w:p>
        </w:tc>
        <w:tc>
          <w:tcPr>
            <w:tcW w:w="716" w:type="dxa"/>
            <w:noWrap w:val="0"/>
            <w:vAlign w:val="center"/>
          </w:tcPr>
          <w:p>
            <w:pPr>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7" w:type="dxa"/>
            <w:gridSpan w:val="5"/>
            <w:noWrap w:val="0"/>
            <w:vAlign w:val="center"/>
          </w:tcPr>
          <w:p>
            <w:pPr>
              <w:numPr>
                <w:ilvl w:val="0"/>
                <w:numId w:val="0"/>
              </w:numPr>
              <w:spacing w:line="240" w:lineRule="auto"/>
              <w:ind w:lef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采暖通风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color w:val="auto"/>
                <w:sz w:val="21"/>
                <w:szCs w:val="21"/>
              </w:rPr>
              <w:t>配电室通风宜采用自然通风，夏季室内温度不宜超过40摄氏度，当自然排风不能满足要求时，应设置机械通风或空调</w:t>
            </w:r>
            <w:r>
              <w:rPr>
                <w:rFonts w:hint="eastAsia" w:ascii="Times New Roman" w:hAnsi="Times New Roman" w:eastAsia="宋体" w:cs="Times New Roman"/>
                <w:color w:val="auto"/>
                <w:sz w:val="21"/>
                <w:szCs w:val="21"/>
                <w:lang w:eastAsia="zh-CN"/>
              </w:rPr>
              <w:t>。</w:t>
            </w:r>
          </w:p>
        </w:tc>
        <w:tc>
          <w:tcPr>
            <w:tcW w:w="2362" w:type="dxa"/>
            <w:noWrap w:val="0"/>
            <w:vAlign w:val="center"/>
          </w:tcPr>
          <w:p>
            <w:pPr>
              <w:spacing w:line="240" w:lineRule="auto"/>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《化工采暖通风与空气调节设计规范》</w:t>
            </w:r>
            <w:r>
              <w:rPr>
                <w:rFonts w:hint="eastAsia" w:cs="Times New Roman"/>
                <w:bCs/>
                <w:color w:val="auto"/>
                <w:sz w:val="21"/>
                <w:szCs w:val="21"/>
                <w:lang w:val="en-US" w:eastAsia="zh-CN"/>
              </w:rPr>
              <w:t>（</w:t>
            </w:r>
            <w:r>
              <w:rPr>
                <w:rFonts w:hint="eastAsia" w:ascii="Times New Roman" w:hAnsi="Times New Roman" w:eastAsia="宋体" w:cs="Times New Roman"/>
                <w:bCs/>
                <w:color w:val="auto"/>
                <w:sz w:val="21"/>
                <w:szCs w:val="21"/>
                <w:lang w:val="en-US" w:eastAsia="zh-CN"/>
              </w:rPr>
              <w:t>HG/T</w:t>
            </w:r>
          </w:p>
          <w:p>
            <w:pPr>
              <w:spacing w:line="240" w:lineRule="auto"/>
              <w:jc w:val="center"/>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Cs/>
                <w:color w:val="auto"/>
                <w:sz w:val="21"/>
                <w:szCs w:val="21"/>
                <w:lang w:val="en-US" w:eastAsia="zh-CN"/>
              </w:rPr>
              <w:t>20698-2009</w:t>
            </w:r>
            <w:r>
              <w:rPr>
                <w:rFonts w:hint="eastAsia" w:cs="Times New Roman"/>
                <w:bCs/>
                <w:color w:val="auto"/>
                <w:sz w:val="21"/>
                <w:szCs w:val="21"/>
                <w:lang w:val="en-US" w:eastAsia="zh-CN"/>
              </w:rPr>
              <w:t>）</w:t>
            </w:r>
            <w:r>
              <w:rPr>
                <w:rFonts w:hint="default" w:ascii="Times New Roman" w:hAnsi="Times New Roman" w:eastAsia="宋体" w:cs="Times New Roman"/>
                <w:bCs/>
                <w:color w:val="auto"/>
                <w:sz w:val="21"/>
                <w:szCs w:val="21"/>
                <w:lang w:val="en-US" w:eastAsia="zh-CN"/>
              </w:rPr>
              <w:t>第7.3.3条</w:t>
            </w:r>
          </w:p>
        </w:tc>
        <w:tc>
          <w:tcPr>
            <w:tcW w:w="2319" w:type="dxa"/>
            <w:noWrap w:val="0"/>
            <w:vAlign w:val="center"/>
          </w:tcPr>
          <w:p>
            <w:pPr>
              <w:spacing w:line="240" w:lineRule="auto"/>
              <w:ind w:left="-46" w:leftChars="-22" w:right="-63" w:rightChars="-30"/>
              <w:jc w:val="both"/>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color w:val="auto"/>
                <w:sz w:val="21"/>
                <w:szCs w:val="21"/>
              </w:rPr>
              <w:t>配电</w:t>
            </w:r>
            <w:r>
              <w:rPr>
                <w:rFonts w:hint="eastAsia" w:ascii="Times New Roman" w:hAnsi="Times New Roman" w:eastAsia="宋体" w:cs="Times New Roman"/>
                <w:color w:val="auto"/>
                <w:sz w:val="21"/>
                <w:szCs w:val="21"/>
                <w:lang w:eastAsia="zh-CN"/>
              </w:rPr>
              <w:t>间</w:t>
            </w:r>
            <w:r>
              <w:rPr>
                <w:rFonts w:hint="default" w:ascii="Times New Roman" w:hAnsi="Times New Roman" w:eastAsia="宋体" w:cs="Times New Roman"/>
                <w:color w:val="auto"/>
                <w:sz w:val="21"/>
                <w:szCs w:val="21"/>
              </w:rPr>
              <w:t>采用</w:t>
            </w:r>
            <w:r>
              <w:rPr>
                <w:rFonts w:hint="default" w:ascii="Times New Roman" w:hAnsi="Times New Roman" w:eastAsia="宋体" w:cs="Times New Roman"/>
                <w:color w:val="auto"/>
                <w:sz w:val="21"/>
                <w:szCs w:val="21"/>
                <w:lang w:eastAsia="zh-CN"/>
              </w:rPr>
              <w:t>自然</w:t>
            </w:r>
            <w:r>
              <w:rPr>
                <w:rFonts w:hint="default" w:ascii="Times New Roman" w:hAnsi="Times New Roman" w:eastAsia="宋体" w:cs="Times New Roman"/>
                <w:color w:val="auto"/>
                <w:sz w:val="21"/>
                <w:szCs w:val="21"/>
              </w:rPr>
              <w:t>排风，室内温度夏季不超过40摄氏度。</w:t>
            </w:r>
          </w:p>
        </w:tc>
        <w:tc>
          <w:tcPr>
            <w:tcW w:w="716" w:type="dxa"/>
            <w:noWrap w:val="0"/>
            <w:vAlign w:val="center"/>
          </w:tcPr>
          <w:p>
            <w:pPr>
              <w:spacing w:line="240" w:lineRule="auto"/>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Cs/>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eastAsia="zh-CN"/>
              </w:rPr>
              <w:t>当自然通风不能满足工艺生产要求和工业企业设计卫生标准，或在经济上不合理时，应设计机械通风。</w:t>
            </w:r>
          </w:p>
        </w:tc>
        <w:tc>
          <w:tcPr>
            <w:tcW w:w="2362" w:type="dxa"/>
            <w:noWrap w:val="0"/>
            <w:vAlign w:val="center"/>
          </w:tcPr>
          <w:p>
            <w:pPr>
              <w:spacing w:line="240" w:lineRule="auto"/>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《化工采暖通风与空气调节设计规范》</w:t>
            </w:r>
            <w:r>
              <w:rPr>
                <w:rFonts w:hint="eastAsia" w:cs="Times New Roman"/>
                <w:bCs/>
                <w:color w:val="auto"/>
                <w:sz w:val="21"/>
                <w:szCs w:val="21"/>
                <w:lang w:val="en-US" w:eastAsia="zh-CN"/>
              </w:rPr>
              <w:t>（</w:t>
            </w:r>
            <w:r>
              <w:rPr>
                <w:rFonts w:hint="eastAsia" w:ascii="Times New Roman" w:hAnsi="Times New Roman" w:eastAsia="宋体" w:cs="Times New Roman"/>
                <w:bCs/>
                <w:color w:val="auto"/>
                <w:sz w:val="21"/>
                <w:szCs w:val="21"/>
                <w:lang w:val="en-US" w:eastAsia="zh-CN"/>
              </w:rPr>
              <w:t>HG/T</w:t>
            </w:r>
          </w:p>
          <w:p>
            <w:pPr>
              <w:spacing w:line="240" w:lineRule="auto"/>
              <w:jc w:val="center"/>
              <w:rPr>
                <w:rFonts w:hint="eastAsia"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Cs/>
                <w:color w:val="auto"/>
                <w:sz w:val="21"/>
                <w:szCs w:val="21"/>
                <w:lang w:val="en-US" w:eastAsia="zh-CN"/>
              </w:rPr>
              <w:t>20698-2009</w:t>
            </w:r>
            <w:r>
              <w:rPr>
                <w:rFonts w:hint="eastAsia" w:cs="Times New Roman"/>
                <w:bCs/>
                <w:color w:val="auto"/>
                <w:sz w:val="21"/>
                <w:szCs w:val="21"/>
                <w:lang w:val="en-US" w:eastAsia="zh-CN"/>
              </w:rPr>
              <w:t>）</w:t>
            </w:r>
            <w:r>
              <w:rPr>
                <w:rFonts w:hint="eastAsia" w:ascii="Times New Roman" w:hAnsi="Times New Roman" w:eastAsia="宋体" w:cs="Times New Roman"/>
                <w:b w:val="0"/>
                <w:bCs w:val="0"/>
                <w:color w:val="000000"/>
                <w:sz w:val="21"/>
                <w:szCs w:val="21"/>
                <w:lang w:eastAsia="zh-CN"/>
              </w:rPr>
              <w:t>第5.3.1条</w:t>
            </w:r>
          </w:p>
        </w:tc>
        <w:tc>
          <w:tcPr>
            <w:tcW w:w="2319"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eastAsia="zh-CN"/>
              </w:rPr>
              <w:t>生产车间设置了机械通风。</w:t>
            </w:r>
          </w:p>
        </w:tc>
        <w:tc>
          <w:tcPr>
            <w:tcW w:w="716" w:type="dxa"/>
            <w:noWrap w:val="0"/>
            <w:vAlign w:val="center"/>
          </w:tcPr>
          <w:p>
            <w:pPr>
              <w:spacing w:line="240" w:lineRule="auto"/>
              <w:jc w:val="both"/>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7" w:type="dxa"/>
            <w:gridSpan w:val="5"/>
            <w:noWrap w:val="0"/>
            <w:vAlign w:val="center"/>
          </w:tcPr>
          <w:p>
            <w:pPr>
              <w:numPr>
                <w:ilvl w:val="0"/>
                <w:numId w:val="0"/>
              </w:numPr>
              <w:spacing w:line="240" w:lineRule="auto"/>
              <w:ind w:lef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给排水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生活用水的给水系统，其供水水质必须符合现行的生活饮用水卫生标准的要求；专用的工业用水给水系统，其水质标准应根据用户的要求确定</w:t>
            </w:r>
            <w:r>
              <w:rPr>
                <w:rFonts w:hint="eastAsia" w:cs="Times New Roman"/>
                <w:color w:val="auto"/>
                <w:sz w:val="21"/>
                <w:szCs w:val="21"/>
                <w:lang w:eastAsia="zh-CN"/>
              </w:rPr>
              <w:t>。</w:t>
            </w:r>
          </w:p>
        </w:tc>
        <w:tc>
          <w:tcPr>
            <w:tcW w:w="2362" w:type="dxa"/>
            <w:noWrap w:val="0"/>
            <w:vAlign w:val="center"/>
          </w:tcPr>
          <w:p>
            <w:pPr>
              <w:spacing w:line="240" w:lineRule="auto"/>
              <w:ind w:left="-78" w:leftChars="-37" w:right="-46" w:rightChars="-22"/>
              <w:jc w:val="center"/>
              <w:rPr>
                <w:rFonts w:hint="eastAsia" w:ascii="Times New Roman" w:hAnsi="Times New Roman" w:eastAsia="宋体" w:cs="Times New Roman"/>
                <w:bCs/>
                <w:color w:val="000000"/>
                <w:sz w:val="21"/>
                <w:szCs w:val="21"/>
                <w:lang w:val="en-US" w:eastAsia="zh-CN"/>
              </w:rPr>
            </w:pPr>
            <w:r>
              <w:rPr>
                <w:rFonts w:hint="eastAsia" w:ascii="Times New Roman" w:hAnsi="Times New Roman" w:eastAsia="宋体" w:cs="Times New Roman"/>
                <w:bCs/>
                <w:color w:val="000000"/>
                <w:sz w:val="21"/>
                <w:szCs w:val="21"/>
                <w:lang w:val="en-US" w:eastAsia="zh-CN"/>
              </w:rPr>
              <w:t>《室外给水设计标准》</w:t>
            </w:r>
            <w:r>
              <w:rPr>
                <w:rFonts w:hint="eastAsia" w:cs="Times New Roman"/>
                <w:bCs/>
                <w:color w:val="000000"/>
                <w:sz w:val="21"/>
                <w:szCs w:val="21"/>
                <w:lang w:val="en-US" w:eastAsia="zh-CN"/>
              </w:rPr>
              <w:t>（</w:t>
            </w:r>
            <w:r>
              <w:rPr>
                <w:rFonts w:hint="eastAsia" w:ascii="Times New Roman" w:hAnsi="Times New Roman" w:eastAsia="宋体" w:cs="Times New Roman"/>
                <w:bCs/>
                <w:color w:val="000000"/>
                <w:sz w:val="21"/>
                <w:szCs w:val="21"/>
                <w:lang w:val="en-US" w:eastAsia="zh-CN"/>
              </w:rPr>
              <w:t>GB50013-2018</w:t>
            </w:r>
            <w:r>
              <w:rPr>
                <w:rFonts w:hint="eastAsia" w:cs="Times New Roman"/>
                <w:bCs/>
                <w:color w:val="000000"/>
                <w:sz w:val="21"/>
                <w:szCs w:val="21"/>
                <w:lang w:val="en-US" w:eastAsia="zh-CN"/>
              </w:rPr>
              <w:t>）</w:t>
            </w:r>
          </w:p>
          <w:p>
            <w:pPr>
              <w:spacing w:line="240" w:lineRule="auto"/>
              <w:ind w:left="-78" w:leftChars="-37" w:right="-46" w:rightChars="-22"/>
              <w:jc w:val="center"/>
              <w:rPr>
                <w:rFonts w:hint="default" w:ascii="Times New Roman" w:hAnsi="Times New Roman" w:eastAsia="宋体" w:cs="Times New Roman"/>
                <w:bCs/>
                <w:color w:val="000000"/>
                <w:sz w:val="21"/>
                <w:szCs w:val="21"/>
                <w:lang w:val="en-US" w:eastAsia="zh-CN"/>
              </w:rPr>
            </w:pPr>
            <w:r>
              <w:rPr>
                <w:rFonts w:hint="default" w:ascii="Times New Roman" w:hAnsi="Times New Roman" w:eastAsia="宋体" w:cs="Times New Roman"/>
                <w:bCs/>
                <w:color w:val="000000"/>
                <w:sz w:val="21"/>
                <w:szCs w:val="21"/>
                <w:lang w:val="en-US" w:eastAsia="zh-CN"/>
              </w:rPr>
              <w:t>第3.0.8条</w:t>
            </w:r>
          </w:p>
        </w:tc>
        <w:tc>
          <w:tcPr>
            <w:tcW w:w="2319"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生</w:t>
            </w:r>
            <w:r>
              <w:rPr>
                <w:rFonts w:hint="default" w:ascii="Times New Roman" w:hAnsi="Times New Roman" w:eastAsia="宋体" w:cs="Times New Roman"/>
                <w:color w:val="auto"/>
                <w:sz w:val="21"/>
                <w:szCs w:val="21"/>
                <w:lang w:eastAsia="zh-CN"/>
              </w:rPr>
              <w:t>产用水由供水管网供给，生活饮用水外购供给。符合现行卫生标准。</w:t>
            </w:r>
          </w:p>
        </w:tc>
        <w:tc>
          <w:tcPr>
            <w:tcW w:w="716" w:type="dxa"/>
            <w:noWrap w:val="0"/>
            <w:vAlign w:val="center"/>
          </w:tcPr>
          <w:p>
            <w:pPr>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7" w:type="dxa"/>
            <w:gridSpan w:val="5"/>
            <w:noWrap w:val="0"/>
            <w:vAlign w:val="center"/>
          </w:tcPr>
          <w:p>
            <w:pPr>
              <w:numPr>
                <w:ilvl w:val="0"/>
                <w:numId w:val="0"/>
              </w:numPr>
              <w:spacing w:line="240" w:lineRule="auto"/>
              <w:ind w:leftChars="0"/>
              <w:jc w:val="center"/>
              <w:rPr>
                <w:rFonts w:hint="eastAsia" w:ascii="Times New Roman" w:hAnsi="Times New Roman" w:eastAsia="宋体" w:cs="Times New Roman"/>
                <w:b/>
                <w:bCs w:val="0"/>
                <w:color w:val="auto"/>
                <w:sz w:val="21"/>
                <w:szCs w:val="21"/>
                <w:lang w:eastAsia="zh-CN"/>
              </w:rPr>
            </w:pPr>
            <w:r>
              <w:rPr>
                <w:rFonts w:hint="eastAsia" w:ascii="Times New Roman" w:hAnsi="Times New Roman" w:eastAsia="宋体" w:cs="Times New Roman"/>
                <w:b/>
                <w:bCs w:val="0"/>
                <w:color w:val="auto"/>
                <w:sz w:val="21"/>
                <w:szCs w:val="21"/>
                <w:lang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锅炉间应属于丁类生产厂房，建筑不应低于二级耐火等级。</w:t>
            </w:r>
          </w:p>
        </w:tc>
        <w:tc>
          <w:tcPr>
            <w:tcW w:w="2362" w:type="dxa"/>
            <w:noWrap w:val="0"/>
            <w:vAlign w:val="center"/>
          </w:tcPr>
          <w:p>
            <w:pPr>
              <w:spacing w:line="240" w:lineRule="auto"/>
              <w:jc w:val="center"/>
              <w:rPr>
                <w:rFonts w:hint="eastAsia"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《锅炉房设计标准》</w:t>
            </w:r>
            <w:r>
              <w:rPr>
                <w:rFonts w:hint="eastAsia" w:cs="Times New Roman"/>
                <w:bCs/>
                <w:color w:val="auto"/>
                <w:sz w:val="21"/>
                <w:szCs w:val="21"/>
                <w:lang w:val="en-US" w:eastAsia="zh-CN"/>
              </w:rPr>
              <w:t>（</w:t>
            </w:r>
            <w:r>
              <w:rPr>
                <w:rFonts w:hint="eastAsia" w:ascii="Times New Roman" w:hAnsi="Times New Roman" w:eastAsia="宋体" w:cs="Times New Roman"/>
                <w:bCs/>
                <w:color w:val="auto"/>
                <w:sz w:val="21"/>
                <w:szCs w:val="21"/>
                <w:lang w:val="en-US" w:eastAsia="zh-CN"/>
              </w:rPr>
              <w:t>GB50041-2020</w:t>
            </w:r>
            <w:r>
              <w:rPr>
                <w:rFonts w:hint="eastAsia" w:cs="Times New Roman"/>
                <w:bCs/>
                <w:color w:val="auto"/>
                <w:sz w:val="21"/>
                <w:szCs w:val="21"/>
                <w:lang w:val="en-US" w:eastAsia="zh-CN"/>
              </w:rPr>
              <w:t>）</w:t>
            </w:r>
          </w:p>
          <w:p>
            <w:pPr>
              <w:spacing w:line="240" w:lineRule="auto"/>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第15.1.1</w:t>
            </w:r>
            <w:r>
              <w:rPr>
                <w:rFonts w:hint="eastAsia" w:cs="Times New Roman"/>
                <w:bCs/>
                <w:color w:val="auto"/>
                <w:sz w:val="21"/>
                <w:szCs w:val="21"/>
                <w:lang w:val="en-US" w:eastAsia="zh-CN"/>
              </w:rPr>
              <w:t>条</w:t>
            </w:r>
          </w:p>
        </w:tc>
        <w:tc>
          <w:tcPr>
            <w:tcW w:w="2319"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锅炉房</w:t>
            </w:r>
            <w:r>
              <w:rPr>
                <w:rFonts w:hint="eastAsia" w:cs="Times New Roman"/>
                <w:color w:val="auto"/>
                <w:sz w:val="21"/>
                <w:szCs w:val="21"/>
                <w:lang w:val="en-US" w:eastAsia="zh-CN"/>
              </w:rPr>
              <w:t>火灾危险性类别为丁类，</w:t>
            </w:r>
            <w:r>
              <w:rPr>
                <w:rFonts w:hint="eastAsia" w:ascii="Times New Roman" w:hAnsi="Times New Roman" w:eastAsia="宋体" w:cs="Times New Roman"/>
                <w:color w:val="auto"/>
                <w:sz w:val="21"/>
                <w:szCs w:val="21"/>
                <w:lang w:val="en-US" w:eastAsia="zh-CN"/>
              </w:rPr>
              <w:t>耐火等级</w:t>
            </w:r>
            <w:r>
              <w:rPr>
                <w:rFonts w:hint="eastAsia" w:cs="Times New Roman"/>
                <w:color w:val="auto"/>
                <w:sz w:val="21"/>
                <w:szCs w:val="21"/>
                <w:lang w:val="en-US" w:eastAsia="zh-CN"/>
              </w:rPr>
              <w:t>为</w:t>
            </w:r>
            <w:r>
              <w:rPr>
                <w:rFonts w:hint="eastAsia" w:ascii="Times New Roman" w:hAnsi="Times New Roman" w:eastAsia="宋体" w:cs="Times New Roman"/>
                <w:color w:val="auto"/>
                <w:sz w:val="21"/>
                <w:szCs w:val="21"/>
                <w:lang w:val="en-US" w:eastAsia="zh-CN"/>
              </w:rPr>
              <w:t>二级。</w:t>
            </w:r>
          </w:p>
        </w:tc>
        <w:tc>
          <w:tcPr>
            <w:tcW w:w="716" w:type="dxa"/>
            <w:noWrap w:val="0"/>
            <w:vAlign w:val="center"/>
          </w:tcPr>
          <w:p>
            <w:pPr>
              <w:spacing w:line="360" w:lineRule="auto"/>
              <w:jc w:val="center"/>
              <w:rPr>
                <w:rFonts w:hint="default" w:ascii="宋体" w:hAnsi="宋体" w:eastAsia="宋体" w:cs="宋体"/>
                <w:bCs/>
                <w:kern w:val="2"/>
                <w:sz w:val="21"/>
                <w:szCs w:val="21"/>
                <w:lang w:val="en-US" w:eastAsia="zh-CN" w:bidi="ar-SA"/>
              </w:rPr>
            </w:pPr>
            <w:r>
              <w:rPr>
                <w:rFonts w:hint="eastAsia" w:ascii="宋体" w:hAnsi="宋体" w:cs="宋体"/>
                <w:bCs/>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锅炉房的外墙、楼地面或屋面应有相应的防爆措施，并应有相当于锅炉间占地面积10％的泄压面积，泄压方向不得朝向人员聚集的场所、房间和人行通道，泄压处也不得与这些地方相邻。</w:t>
            </w:r>
          </w:p>
        </w:tc>
        <w:tc>
          <w:tcPr>
            <w:tcW w:w="2362" w:type="dxa"/>
            <w:noWrap w:val="0"/>
            <w:vAlign w:val="center"/>
          </w:tcPr>
          <w:p>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《锅炉房设计标准》（GB50041-2020）</w:t>
            </w:r>
          </w:p>
          <w:p>
            <w:pPr>
              <w:spacing w:line="240" w:lineRule="auto"/>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第15.1.2条</w:t>
            </w:r>
          </w:p>
        </w:tc>
        <w:tc>
          <w:tcPr>
            <w:tcW w:w="2319" w:type="dxa"/>
            <w:noWrap w:val="0"/>
            <w:vAlign w:val="center"/>
          </w:tcPr>
          <w:p>
            <w:pPr>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锅炉房的</w:t>
            </w:r>
            <w:r>
              <w:rPr>
                <w:rFonts w:hint="eastAsia" w:ascii="Times New Roman" w:hAnsi="Times New Roman" w:cs="Times New Roman"/>
                <w:color w:val="auto"/>
                <w:sz w:val="21"/>
                <w:szCs w:val="21"/>
                <w:lang w:val="en-US" w:eastAsia="zh-CN"/>
              </w:rPr>
              <w:t>设</w:t>
            </w:r>
            <w:r>
              <w:rPr>
                <w:rFonts w:hint="eastAsia" w:ascii="Times New Roman" w:hAnsi="Times New Roman" w:eastAsia="宋体" w:cs="Times New Roman"/>
                <w:color w:val="auto"/>
                <w:sz w:val="21"/>
                <w:szCs w:val="21"/>
                <w:lang w:val="en-US" w:eastAsia="zh-CN"/>
              </w:rPr>
              <w:t>有相应的防爆措施</w:t>
            </w:r>
            <w:r>
              <w:rPr>
                <w:rFonts w:hint="eastAsia" w:ascii="Times New Roman" w:hAnsi="Times New Roman" w:cs="Times New Roman"/>
                <w:color w:val="auto"/>
                <w:sz w:val="21"/>
                <w:szCs w:val="21"/>
                <w:lang w:val="en-US" w:eastAsia="zh-CN"/>
              </w:rPr>
              <w:t>。</w:t>
            </w:r>
          </w:p>
        </w:tc>
        <w:tc>
          <w:tcPr>
            <w:tcW w:w="716" w:type="dxa"/>
            <w:noWrap w:val="0"/>
            <w:vAlign w:val="center"/>
          </w:tcPr>
          <w:p>
            <w:pPr>
              <w:spacing w:line="360" w:lineRule="auto"/>
              <w:jc w:val="center"/>
              <w:rPr>
                <w:rFonts w:hint="eastAsia" w:ascii="宋体" w:hAnsi="宋体" w:cs="宋体"/>
                <w:bCs/>
                <w:szCs w:val="21"/>
              </w:rPr>
            </w:pPr>
            <w:r>
              <w:rPr>
                <w:rFonts w:hint="eastAsia" w:ascii="宋体" w:hAnsi="宋体" w:cs="宋体"/>
                <w:bCs/>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设备吊装孔、灰渣池及高位平台周围应设置防护栏杆。</w:t>
            </w:r>
          </w:p>
        </w:tc>
        <w:tc>
          <w:tcPr>
            <w:tcW w:w="2362" w:type="dxa"/>
            <w:noWrap w:val="0"/>
            <w:vAlign w:val="center"/>
          </w:tcPr>
          <w:p>
            <w:pPr>
              <w:spacing w:line="240" w:lineRule="auto"/>
              <w:jc w:val="center"/>
              <w:rPr>
                <w:rFonts w:hint="eastAsia"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《锅炉房设计标准》</w:t>
            </w:r>
            <w:r>
              <w:rPr>
                <w:rFonts w:hint="eastAsia" w:cs="Times New Roman"/>
                <w:bCs/>
                <w:color w:val="auto"/>
                <w:sz w:val="21"/>
                <w:szCs w:val="21"/>
                <w:lang w:val="en-US" w:eastAsia="zh-CN"/>
              </w:rPr>
              <w:t>（</w:t>
            </w:r>
            <w:r>
              <w:rPr>
                <w:rFonts w:hint="eastAsia" w:ascii="Times New Roman" w:hAnsi="Times New Roman" w:eastAsia="宋体" w:cs="Times New Roman"/>
                <w:bCs/>
                <w:color w:val="auto"/>
                <w:sz w:val="21"/>
                <w:szCs w:val="21"/>
                <w:lang w:val="en-US" w:eastAsia="zh-CN"/>
              </w:rPr>
              <w:t>GB50041-2020</w:t>
            </w:r>
            <w:r>
              <w:rPr>
                <w:rFonts w:hint="eastAsia" w:cs="Times New Roman"/>
                <w:bCs/>
                <w:color w:val="auto"/>
                <w:sz w:val="21"/>
                <w:szCs w:val="21"/>
                <w:lang w:val="en-US" w:eastAsia="zh-CN"/>
              </w:rPr>
              <w:t>）</w:t>
            </w:r>
          </w:p>
          <w:p>
            <w:pPr>
              <w:spacing w:line="240" w:lineRule="auto"/>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第15.1.13</w:t>
            </w:r>
          </w:p>
        </w:tc>
        <w:tc>
          <w:tcPr>
            <w:tcW w:w="2319" w:type="dxa"/>
            <w:noWrap w:val="0"/>
            <w:vAlign w:val="center"/>
          </w:tcPr>
          <w:p>
            <w:pPr>
              <w:spacing w:line="240" w:lineRule="auto"/>
              <w:jc w:val="both"/>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设有防护栏杆。</w:t>
            </w:r>
          </w:p>
        </w:tc>
        <w:tc>
          <w:tcPr>
            <w:tcW w:w="716" w:type="dxa"/>
            <w:noWrap w:val="0"/>
            <w:vAlign w:val="center"/>
          </w:tcPr>
          <w:p>
            <w:pPr>
              <w:spacing w:line="360" w:lineRule="auto"/>
              <w:jc w:val="center"/>
              <w:rPr>
                <w:rFonts w:hint="default" w:ascii="宋体" w:hAnsi="宋体" w:eastAsia="宋体" w:cs="宋体"/>
                <w:bCs/>
                <w:kern w:val="2"/>
                <w:sz w:val="21"/>
                <w:szCs w:val="21"/>
                <w:lang w:val="en-US" w:eastAsia="zh-CN" w:bidi="ar-SA"/>
              </w:rPr>
            </w:pPr>
            <w:r>
              <w:rPr>
                <w:rFonts w:hint="eastAsia" w:ascii="宋体" w:hAnsi="宋体" w:cs="宋体"/>
                <w:bCs/>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4" w:type="dxa"/>
            <w:noWrap w:val="0"/>
            <w:vAlign w:val="center"/>
          </w:tcPr>
          <w:p>
            <w:pPr>
              <w:numPr>
                <w:ilvl w:val="0"/>
                <w:numId w:val="24"/>
              </w:numPr>
              <w:spacing w:line="240" w:lineRule="auto"/>
              <w:ind w:left="454" w:leftChars="0" w:hanging="384" w:firstLineChars="0"/>
              <w:jc w:val="center"/>
              <w:rPr>
                <w:rFonts w:hint="default" w:ascii="Times New Roman" w:hAnsi="Times New Roman" w:eastAsia="宋体" w:cs="Times New Roman"/>
                <w:bCs/>
                <w:color w:val="auto"/>
                <w:sz w:val="21"/>
                <w:szCs w:val="21"/>
                <w:lang w:val="en-US" w:eastAsia="zh-CN"/>
              </w:rPr>
            </w:pPr>
          </w:p>
        </w:tc>
        <w:tc>
          <w:tcPr>
            <w:tcW w:w="3276" w:type="dxa"/>
            <w:noWrap w:val="0"/>
            <w:vAlign w:val="center"/>
          </w:tcPr>
          <w:p>
            <w:pPr>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平台和扶梯应选用不燃烧的防滑材料；操作平台宽度不应小于800mm，扶梯宽度不应小于600mm；平台上部净高不应小于2m，扶梯段上部净高不应小于2.2m；经常使用的钢梯坡度不宜大于45°。</w:t>
            </w:r>
          </w:p>
        </w:tc>
        <w:tc>
          <w:tcPr>
            <w:tcW w:w="2362" w:type="dxa"/>
            <w:noWrap w:val="0"/>
            <w:vAlign w:val="center"/>
          </w:tcPr>
          <w:p>
            <w:pPr>
              <w:spacing w:line="240" w:lineRule="auto"/>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color w:val="auto"/>
                <w:sz w:val="21"/>
                <w:szCs w:val="21"/>
                <w:lang w:val="en-US" w:eastAsia="zh-CN"/>
              </w:rPr>
              <w:t>《锅炉房设计标准》（GB50041-2020）第15.1.18条</w:t>
            </w:r>
          </w:p>
        </w:tc>
        <w:tc>
          <w:tcPr>
            <w:tcW w:w="2319" w:type="dxa"/>
            <w:noWrap w:val="0"/>
            <w:vAlign w:val="center"/>
          </w:tcPr>
          <w:p>
            <w:pPr>
              <w:spacing w:line="240" w:lineRule="auto"/>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平台和扶梯选用不燃烧的防滑材料</w:t>
            </w:r>
            <w:r>
              <w:rPr>
                <w:rFonts w:hint="eastAsia" w:ascii="Times New Roman" w:hAnsi="Times New Roman" w:cs="Times New Roman"/>
                <w:color w:val="auto"/>
                <w:sz w:val="21"/>
                <w:szCs w:val="21"/>
                <w:lang w:val="en-US" w:eastAsia="zh-CN"/>
              </w:rPr>
              <w:t>。</w:t>
            </w:r>
          </w:p>
        </w:tc>
        <w:tc>
          <w:tcPr>
            <w:tcW w:w="716" w:type="dxa"/>
            <w:noWrap w:val="0"/>
            <w:vAlign w:val="center"/>
          </w:tcPr>
          <w:p>
            <w:pPr>
              <w:spacing w:line="360" w:lineRule="auto"/>
              <w:jc w:val="center"/>
              <w:rPr>
                <w:rFonts w:hint="eastAsia" w:ascii="宋体" w:hAnsi="宋体" w:cs="宋体"/>
                <w:bCs/>
                <w:szCs w:val="21"/>
              </w:rPr>
            </w:pPr>
            <w:r>
              <w:rPr>
                <w:rFonts w:hint="eastAsia" w:ascii="宋体" w:hAnsi="宋体" w:cs="宋体"/>
                <w:bCs/>
                <w:szCs w:val="21"/>
              </w:rPr>
              <w:t>符合</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560" w:firstLineChars="200"/>
        <w:jc w:val="left"/>
        <w:textAlignment w:val="auto"/>
        <w:rPr>
          <w:rFonts w:hint="eastAsia" w:ascii="Times New Roman" w:hAnsi="Times New Roman" w:eastAsia="宋体" w:cs="Times New Roman"/>
          <w:kern w:val="2"/>
          <w:sz w:val="28"/>
          <w:szCs w:val="28"/>
          <w:lang w:val="zh-CN" w:eastAsia="zh-CN" w:bidi="ar-SA"/>
        </w:rPr>
      </w:pPr>
      <w:r>
        <w:rPr>
          <w:rFonts w:hint="eastAsia" w:ascii="Times New Roman" w:hAnsi="Times New Roman" w:eastAsia="宋体" w:cs="Times New Roman"/>
          <w:kern w:val="2"/>
          <w:sz w:val="28"/>
          <w:szCs w:val="28"/>
          <w:lang w:val="zh-CN" w:eastAsia="zh-CN" w:bidi="ar-SA"/>
        </w:rPr>
        <w:t>小结：公辅设施单元共检查了</w:t>
      </w:r>
      <w:r>
        <w:rPr>
          <w:rFonts w:hint="eastAsia" w:cs="Times New Roman"/>
          <w:kern w:val="2"/>
          <w:sz w:val="28"/>
          <w:szCs w:val="28"/>
          <w:lang w:val="en-US" w:eastAsia="zh-CN" w:bidi="ar-SA"/>
        </w:rPr>
        <w:t>32</w:t>
      </w:r>
      <w:r>
        <w:rPr>
          <w:rFonts w:hint="eastAsia" w:ascii="Times New Roman" w:hAnsi="Times New Roman" w:eastAsia="宋体" w:cs="Times New Roman"/>
          <w:kern w:val="2"/>
          <w:sz w:val="28"/>
          <w:szCs w:val="28"/>
          <w:lang w:val="en-US" w:eastAsia="zh-CN" w:bidi="ar-SA"/>
        </w:rPr>
        <w:t>项，其中</w:t>
      </w:r>
      <w:r>
        <w:rPr>
          <w:rFonts w:hint="eastAsia" w:cs="Times New Roman"/>
          <w:kern w:val="2"/>
          <w:sz w:val="28"/>
          <w:szCs w:val="28"/>
          <w:lang w:val="en-US" w:eastAsia="zh-CN" w:bidi="ar-SA"/>
        </w:rPr>
        <w:t>1</w:t>
      </w:r>
      <w:r>
        <w:rPr>
          <w:rFonts w:hint="eastAsia" w:ascii="Times New Roman" w:hAnsi="Times New Roman" w:eastAsia="宋体" w:cs="Times New Roman"/>
          <w:kern w:val="2"/>
          <w:sz w:val="28"/>
          <w:szCs w:val="28"/>
          <w:lang w:val="en-US" w:eastAsia="zh-CN" w:bidi="ar-SA"/>
        </w:rPr>
        <w:t>项不</w:t>
      </w:r>
      <w:r>
        <w:rPr>
          <w:rFonts w:hint="eastAsia" w:ascii="Times New Roman" w:hAnsi="Times New Roman" w:eastAsia="宋体" w:cs="Times New Roman"/>
          <w:kern w:val="2"/>
          <w:sz w:val="28"/>
          <w:szCs w:val="28"/>
          <w:lang w:val="zh-CN" w:eastAsia="zh-CN" w:bidi="ar-SA"/>
        </w:rPr>
        <w:t>符合相关要求，其余</w:t>
      </w:r>
      <w:r>
        <w:rPr>
          <w:rFonts w:hint="eastAsia" w:cs="Times New Roman"/>
          <w:kern w:val="2"/>
          <w:sz w:val="28"/>
          <w:szCs w:val="28"/>
          <w:lang w:val="en-US" w:eastAsia="zh-CN" w:bidi="ar-SA"/>
        </w:rPr>
        <w:t>31</w:t>
      </w:r>
      <w:r>
        <w:rPr>
          <w:rFonts w:hint="eastAsia" w:ascii="Times New Roman" w:hAnsi="Times New Roman" w:eastAsia="宋体" w:cs="Times New Roman"/>
          <w:kern w:val="2"/>
          <w:sz w:val="28"/>
          <w:szCs w:val="28"/>
          <w:lang w:val="en-US" w:eastAsia="zh-CN" w:bidi="ar-SA"/>
        </w:rPr>
        <w:t>项均符合要求</w:t>
      </w:r>
      <w:r>
        <w:rPr>
          <w:rFonts w:hint="eastAsia" w:ascii="Times New Roman" w:hAnsi="Times New Roman" w:eastAsia="宋体" w:cs="Times New Roman"/>
          <w:kern w:val="2"/>
          <w:sz w:val="28"/>
          <w:szCs w:val="28"/>
          <w:lang w:val="zh-CN" w:eastAsia="zh-CN" w:bidi="ar-SA"/>
        </w:rPr>
        <w:t>。</w:t>
      </w:r>
      <w:bookmarkStart w:id="362" w:name="_Toc1248_WPSOffice_Level1"/>
      <w:bookmarkStart w:id="363" w:name="_Toc30928_WPSOffice_Level1"/>
      <w:r>
        <w:rPr>
          <w:rFonts w:hint="eastAsia" w:ascii="Times New Roman" w:hAnsi="Times New Roman" w:eastAsia="宋体" w:cs="Times New Roman"/>
          <w:kern w:val="2"/>
          <w:sz w:val="28"/>
          <w:szCs w:val="28"/>
          <w:lang w:val="zh-CN" w:eastAsia="zh-CN" w:bidi="ar-SA"/>
        </w:rPr>
        <w:t>不符合项</w:t>
      </w:r>
      <w:r>
        <w:rPr>
          <w:rFonts w:hint="eastAsia" w:cs="Times New Roman"/>
          <w:kern w:val="2"/>
          <w:sz w:val="28"/>
          <w:szCs w:val="28"/>
          <w:lang w:val="zh-CN" w:eastAsia="zh-CN" w:bidi="ar-SA"/>
        </w:rPr>
        <w:t>为</w:t>
      </w:r>
      <w:r>
        <w:rPr>
          <w:rFonts w:hint="eastAsia" w:ascii="Times New Roman" w:hAnsi="Times New Roman" w:eastAsia="宋体" w:cs="Times New Roman"/>
          <w:kern w:val="2"/>
          <w:sz w:val="28"/>
          <w:szCs w:val="28"/>
          <w:lang w:val="zh-CN" w:eastAsia="zh-CN" w:bidi="ar-SA"/>
        </w:rPr>
        <w:t>：</w:t>
      </w:r>
    </w:p>
    <w:p>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default" w:ascii="Times New Roman" w:hAnsi="Times New Roman" w:cs="Times New Roman"/>
          <w:bCs/>
          <w:color w:val="000000" w:themeColor="text1"/>
          <w:sz w:val="28"/>
          <w:szCs w:val="28"/>
          <w:lang w:val="en-US" w:eastAsia="zh-CN"/>
          <w14:textFill>
            <w14:solidFill>
              <w14:schemeClr w14:val="tx1"/>
            </w14:solidFill>
          </w14:textFill>
        </w:rPr>
      </w:pPr>
      <w:r>
        <w:rPr>
          <w:rFonts w:hint="default" w:ascii="Times New Roman" w:hAnsi="Times New Roman" w:cs="Times New Roman"/>
          <w:bCs/>
          <w:color w:val="000000" w:themeColor="text1"/>
          <w:sz w:val="28"/>
          <w:szCs w:val="28"/>
          <w:lang w:val="en-US" w:eastAsia="zh-CN"/>
          <w14:textFill>
            <w14:solidFill>
              <w14:schemeClr w14:val="tx1"/>
            </w14:solidFill>
          </w14:textFill>
        </w:rPr>
        <w:t>①</w:t>
      </w:r>
      <w:r>
        <w:rPr>
          <w:rFonts w:hint="default" w:ascii="Times New Roman" w:hAnsi="Times New Roman" w:cs="Times New Roman"/>
          <w:bCs/>
          <w:color w:val="000000" w:themeColor="text1"/>
          <w:sz w:val="28"/>
          <w:szCs w:val="28"/>
          <w:lang w:eastAsia="zh-CN"/>
          <w14:textFill>
            <w14:solidFill>
              <w14:schemeClr w14:val="tx1"/>
            </w14:solidFill>
          </w14:textFill>
        </w:rPr>
        <w:t>个别配电箱的控制柜门未做接地跨接。</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Times New Roman" w:hAnsi="Times New Roman" w:eastAsia="宋体" w:cs="Times New Roman"/>
          <w:color w:val="000000"/>
          <w:kern w:val="2"/>
          <w:sz w:val="28"/>
          <w:szCs w:val="28"/>
          <w:lang w:val="en-US" w:eastAsia="zh-CN" w:bidi="ar-SA"/>
        </w:rPr>
      </w:pPr>
      <w:bookmarkStart w:id="364" w:name="_Toc14301_WPSOffice_Level1"/>
      <w:r>
        <w:rPr>
          <w:rFonts w:hint="eastAsia" w:cs="Times New Roman"/>
          <w:color w:val="000000"/>
          <w:kern w:val="2"/>
          <w:sz w:val="28"/>
          <w:szCs w:val="28"/>
          <w:lang w:val="en-US" w:eastAsia="zh-CN" w:bidi="ar-SA"/>
        </w:rPr>
        <w:t>（5）</w:t>
      </w:r>
      <w:r>
        <w:rPr>
          <w:rFonts w:hint="eastAsia" w:ascii="Times New Roman" w:hAnsi="Times New Roman" w:eastAsia="宋体" w:cs="Times New Roman"/>
          <w:color w:val="000000"/>
          <w:kern w:val="2"/>
          <w:sz w:val="28"/>
          <w:szCs w:val="28"/>
          <w:lang w:val="en-US" w:eastAsia="zh-CN" w:bidi="ar-SA"/>
        </w:rPr>
        <w:t>安全管理单元安全检查表</w:t>
      </w:r>
      <w:bookmarkEnd w:id="362"/>
      <w:bookmarkEnd w:id="363"/>
      <w:bookmarkEnd w:id="364"/>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bookmarkStart w:id="365" w:name="_Toc23270_WPSOffice_Level2"/>
      <w:bookmarkStart w:id="366" w:name="_Toc5845_WPSOffice_Level1"/>
      <w:r>
        <w:rPr>
          <w:rFonts w:hint="eastAsia" w:ascii="Times New Roman" w:hAnsi="Times New Roman" w:eastAsia="黑体" w:cs="Times New Roman"/>
          <w:b w:val="0"/>
          <w:bCs w:val="0"/>
          <w:color w:val="000000"/>
          <w:kern w:val="28"/>
          <w:sz w:val="21"/>
          <w:szCs w:val="21"/>
          <w:lang w:val="en-US" w:eastAsia="zh-CN" w:bidi="ar-SA"/>
        </w:rPr>
        <w:t>附表3</w:t>
      </w:r>
      <w:r>
        <w:rPr>
          <w:rFonts w:hint="eastAsia" w:eastAsia="黑体" w:cs="Times New Roman"/>
          <w:b w:val="0"/>
          <w:bCs w:val="0"/>
          <w:color w:val="000000"/>
          <w:kern w:val="28"/>
          <w:sz w:val="21"/>
          <w:szCs w:val="21"/>
          <w:lang w:val="en-US" w:eastAsia="zh-CN" w:bidi="ar-SA"/>
        </w:rPr>
        <w:t>-5</w:t>
      </w:r>
      <w:r>
        <w:rPr>
          <w:rFonts w:hint="eastAsia" w:ascii="Times New Roman" w:hAnsi="Times New Roman" w:eastAsia="黑体" w:cs="Times New Roman"/>
          <w:b w:val="0"/>
          <w:bCs w:val="0"/>
          <w:color w:val="000000"/>
          <w:kern w:val="28"/>
          <w:sz w:val="21"/>
          <w:szCs w:val="21"/>
          <w:lang w:val="en-US" w:eastAsia="zh-CN" w:bidi="ar-SA"/>
        </w:rPr>
        <w:t xml:space="preserve"> 安全管理单元安全检查表</w:t>
      </w:r>
      <w:bookmarkEnd w:id="365"/>
      <w:bookmarkEnd w:id="366"/>
    </w:p>
    <w:tbl>
      <w:tblPr>
        <w:tblStyle w:val="37"/>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3273"/>
        <w:gridCol w:w="2359"/>
        <w:gridCol w:w="2331"/>
        <w:gridCol w:w="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56"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3273"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检查内容</w:t>
            </w:r>
          </w:p>
        </w:tc>
        <w:tc>
          <w:tcPr>
            <w:tcW w:w="2359" w:type="dxa"/>
            <w:noWrap w:val="0"/>
            <w:vAlign w:val="center"/>
          </w:tcPr>
          <w:p>
            <w:pPr>
              <w:spacing w:line="240" w:lineRule="auto"/>
              <w:ind w:left="-44" w:leftChars="-21" w:right="-46" w:rightChars="-22"/>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依据</w:t>
            </w:r>
          </w:p>
        </w:tc>
        <w:tc>
          <w:tcPr>
            <w:tcW w:w="2331" w:type="dxa"/>
            <w:noWrap w:val="0"/>
            <w:vAlign w:val="center"/>
          </w:tcPr>
          <w:p>
            <w:pPr>
              <w:spacing w:line="240" w:lineRule="auto"/>
              <w:ind w:left="-46" w:leftChars="-22"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实际情况</w:t>
            </w:r>
          </w:p>
        </w:tc>
        <w:tc>
          <w:tcPr>
            <w:tcW w:w="733" w:type="dxa"/>
            <w:noWrap w:val="0"/>
            <w:vAlign w:val="center"/>
          </w:tcPr>
          <w:p>
            <w:pPr>
              <w:spacing w:line="240" w:lineRule="auto"/>
              <w:ind w:left="-63" w:leftChars="-30" w:right="-61" w:rightChars="-29"/>
              <w:jc w:val="center"/>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企业应当建立全员安全生产责任制，保证每位从业人员的安全生产责任与职务、岗位相匹配。</w:t>
            </w:r>
          </w:p>
        </w:tc>
        <w:tc>
          <w:tcPr>
            <w:tcW w:w="2359"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1"/>
              </w:rPr>
              <w:t>辽宁省危险化学品生产企业安全生产许可证实施细则</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bCs/>
                <w:color w:val="auto"/>
                <w:sz w:val="21"/>
                <w:szCs w:val="21"/>
              </w:rPr>
              <w:t>第十四条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建立</w:t>
            </w:r>
            <w:r>
              <w:rPr>
                <w:rFonts w:hint="default" w:ascii="Times New Roman" w:hAnsi="Times New Roman" w:eastAsia="宋体" w:cs="Times New Roman"/>
                <w:color w:val="auto"/>
                <w:sz w:val="21"/>
                <w:szCs w:val="21"/>
                <w:lang w:eastAsia="zh-CN"/>
              </w:rPr>
              <w:t>了</w:t>
            </w:r>
            <w:r>
              <w:rPr>
                <w:rFonts w:hint="default" w:ascii="Times New Roman" w:hAnsi="Times New Roman" w:eastAsia="宋体" w:cs="Times New Roman"/>
                <w:color w:val="auto"/>
                <w:sz w:val="21"/>
                <w:szCs w:val="21"/>
              </w:rPr>
              <w:t>相应的岗位责任制。</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生产经营单位的主要负责人是本单位安全生产第一责任人，对本单位的安全生产工作全面负责。</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《中华人民共和国安全生产法》第五条</w:t>
            </w:r>
          </w:p>
        </w:tc>
        <w:tc>
          <w:tcPr>
            <w:tcW w:w="2331" w:type="dxa"/>
            <w:noWrap w:val="0"/>
            <w:vAlign w:val="center"/>
          </w:tcPr>
          <w:p>
            <w:pPr>
              <w:adjustRightInd w:val="0"/>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主要负责人</w:t>
            </w:r>
            <w:r>
              <w:rPr>
                <w:rFonts w:hint="eastAsia" w:cs="Times New Roman"/>
                <w:color w:val="auto"/>
                <w:sz w:val="21"/>
                <w:szCs w:val="21"/>
                <w:lang w:eastAsia="zh-CN"/>
              </w:rPr>
              <w:t>蔡红</w:t>
            </w:r>
            <w:r>
              <w:rPr>
                <w:rFonts w:hint="default" w:ascii="Times New Roman" w:hAnsi="Times New Roman" w:eastAsia="宋体" w:cs="Times New Roman"/>
                <w:color w:val="auto"/>
                <w:sz w:val="21"/>
                <w:szCs w:val="21"/>
              </w:rPr>
              <w:t>对单位安全生产工作全面负责。</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企业应当根据化工工艺、装置、设施等实际</w:t>
            </w:r>
            <w:r>
              <w:rPr>
                <w:rFonts w:hint="default" w:ascii="Times New Roman" w:hAnsi="Times New Roman" w:eastAsia="宋体" w:cs="Times New Roman"/>
                <w:color w:val="auto"/>
                <w:spacing w:val="-6"/>
                <w:kern w:val="0"/>
                <w:sz w:val="21"/>
                <w:szCs w:val="21"/>
              </w:rPr>
              <w:t>情况，制定完善下列主要安全生产规章制度</w:t>
            </w:r>
            <w:r>
              <w:rPr>
                <w:rFonts w:hint="default" w:ascii="Times New Roman" w:hAnsi="Times New Roman" w:eastAsia="宋体" w:cs="Times New Roman"/>
                <w:color w:val="auto"/>
                <w:kern w:val="0"/>
                <w:sz w:val="21"/>
                <w:szCs w:val="21"/>
              </w:rPr>
              <w:t xml:space="preserve">：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pacing w:val="-10"/>
                <w:kern w:val="0"/>
                <w:sz w:val="21"/>
                <w:szCs w:val="21"/>
              </w:rPr>
              <w:t>（一）安全生产例会等安全生产会议制度</w:t>
            </w:r>
            <w:r>
              <w:rPr>
                <w:rFonts w:hint="default" w:ascii="Times New Roman" w:hAnsi="Times New Roman" w:eastAsia="宋体" w:cs="Times New Roman"/>
                <w:color w:val="auto"/>
                <w:kern w:val="0"/>
                <w:sz w:val="21"/>
                <w:szCs w:val="21"/>
              </w:rPr>
              <w:t xml:space="preserve">；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（二）安全投入保障制度；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（三）安全生产奖惩制度；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（四）安全培训教育制度；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（五）领导干部轮流现场带班制度；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（六）特种作业人员管理制度；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（七）安全检查和隐患排查治理制度；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pacing w:val="-10"/>
                <w:kern w:val="0"/>
                <w:sz w:val="21"/>
                <w:szCs w:val="21"/>
              </w:rPr>
              <w:t>（八）重大危险源评估和安全管理制度；</w:t>
            </w:r>
            <w:r>
              <w:rPr>
                <w:rFonts w:hint="default" w:ascii="Times New Roman" w:hAnsi="Times New Roman" w:eastAsia="宋体" w:cs="Times New Roman"/>
                <w:color w:val="auto"/>
                <w:kern w:val="0"/>
                <w:sz w:val="21"/>
                <w:szCs w:val="21"/>
              </w:rPr>
              <w:t xml:space="preserve">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（九）变更管理制度；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（十）应急管理制度；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pacing w:val="-10"/>
                <w:kern w:val="0"/>
                <w:sz w:val="21"/>
                <w:szCs w:val="21"/>
              </w:rPr>
              <w:t>（十一）生产安全事故或者重大事件管理制度</w:t>
            </w:r>
            <w:r>
              <w:rPr>
                <w:rFonts w:hint="default" w:ascii="Times New Roman" w:hAnsi="Times New Roman" w:eastAsia="宋体" w:cs="Times New Roman"/>
                <w:color w:val="auto"/>
                <w:kern w:val="0"/>
                <w:sz w:val="21"/>
                <w:szCs w:val="21"/>
              </w:rPr>
              <w:t>；</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（十二）防火、防中毒、防泄漏管理制度；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（十三）工艺、设备、电气仪表、公用工程安全管理制度；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（十四）动火、进入受限空间、吊装、高处、盲板抽堵、动土、断路、设备检维修等作业安全管理制度；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（十五）危险化学品安全管理制度；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（十六）职业健康相关管理制度；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pacing w:val="-10"/>
                <w:kern w:val="0"/>
                <w:sz w:val="21"/>
                <w:szCs w:val="21"/>
              </w:rPr>
              <w:t>（</w:t>
            </w:r>
            <w:r>
              <w:rPr>
                <w:rFonts w:hint="default" w:ascii="Times New Roman" w:hAnsi="Times New Roman" w:eastAsia="宋体" w:cs="Times New Roman"/>
                <w:color w:val="auto"/>
                <w:kern w:val="0"/>
                <w:sz w:val="21"/>
                <w:szCs w:val="21"/>
              </w:rPr>
              <w:t>十七）</w:t>
            </w:r>
            <w:r>
              <w:rPr>
                <w:rFonts w:hint="default" w:ascii="Times New Roman" w:hAnsi="Times New Roman" w:eastAsia="宋体" w:cs="Times New Roman"/>
                <w:color w:val="auto"/>
                <w:spacing w:val="-10"/>
                <w:kern w:val="0"/>
                <w:sz w:val="21"/>
                <w:szCs w:val="21"/>
              </w:rPr>
              <w:t>劳动防护用品使用维护管理制度</w:t>
            </w:r>
            <w:r>
              <w:rPr>
                <w:rFonts w:hint="default" w:ascii="Times New Roman" w:hAnsi="Times New Roman" w:eastAsia="宋体" w:cs="Times New Roman"/>
                <w:color w:val="auto"/>
                <w:kern w:val="0"/>
                <w:sz w:val="21"/>
                <w:szCs w:val="21"/>
              </w:rPr>
              <w:t xml:space="preserve">；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（十八）承包商管理制度； </w:t>
            </w:r>
          </w:p>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（十九）安全管理制度及操作规程定期修订制度；</w:t>
            </w:r>
          </w:p>
          <w:p>
            <w:pPr>
              <w:spacing w:line="240" w:lineRule="auto"/>
              <w:jc w:val="both"/>
              <w:rPr>
                <w:rFonts w:hint="default" w:ascii="Times New Roman" w:hAnsi="Times New Roman" w:eastAsia="宋体" w:cs="Times New Roman"/>
                <w:color w:val="auto"/>
                <w:spacing w:val="-10"/>
                <w:sz w:val="21"/>
                <w:szCs w:val="21"/>
              </w:rPr>
            </w:pPr>
            <w:r>
              <w:rPr>
                <w:rFonts w:hint="default" w:ascii="Times New Roman" w:hAnsi="Times New Roman" w:eastAsia="宋体" w:cs="Times New Roman"/>
                <w:color w:val="auto"/>
                <w:kern w:val="0"/>
                <w:sz w:val="21"/>
                <w:szCs w:val="21"/>
              </w:rPr>
              <w:t>（二十）建设项目安全设施、职业病防护设施，必须与主体工程同时设计、同时施工、</w:t>
            </w:r>
            <w:r>
              <w:rPr>
                <w:rFonts w:hint="default" w:ascii="Times New Roman" w:hAnsi="Times New Roman" w:eastAsia="宋体" w:cs="Times New Roman"/>
                <w:color w:val="auto"/>
                <w:spacing w:val="-6"/>
                <w:kern w:val="0"/>
                <w:sz w:val="21"/>
                <w:szCs w:val="21"/>
              </w:rPr>
              <w:t>同时投入生产和使用（“三同时”）管理制度</w:t>
            </w:r>
            <w:r>
              <w:rPr>
                <w:rFonts w:hint="default" w:ascii="Times New Roman" w:hAnsi="Times New Roman" w:eastAsia="宋体" w:cs="Times New Roman"/>
                <w:color w:val="auto"/>
                <w:kern w:val="0"/>
                <w:sz w:val="21"/>
                <w:szCs w:val="21"/>
              </w:rPr>
              <w:t>。</w:t>
            </w:r>
          </w:p>
        </w:tc>
        <w:tc>
          <w:tcPr>
            <w:tcW w:w="2359"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《辽宁省危险化学品生产企业安全生产许可证实施细则》第十五条</w:t>
            </w:r>
          </w:p>
        </w:tc>
        <w:tc>
          <w:tcPr>
            <w:tcW w:w="2331" w:type="dxa"/>
            <w:noWrap w:val="0"/>
            <w:vAlign w:val="center"/>
          </w:tcPr>
          <w:p>
            <w:pPr>
              <w:spacing w:line="240" w:lineRule="auto"/>
              <w:jc w:val="both"/>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eastAsia="zh-CN"/>
              </w:rPr>
              <w:t>企业已</w:t>
            </w:r>
            <w:r>
              <w:rPr>
                <w:rFonts w:hint="default" w:ascii="Times New Roman" w:hAnsi="Times New Roman" w:eastAsia="宋体" w:cs="Times New Roman"/>
                <w:color w:val="auto"/>
                <w:kern w:val="0"/>
                <w:sz w:val="21"/>
                <w:szCs w:val="21"/>
              </w:rPr>
              <w:t>制定了相关安全生产规章制度。</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3273" w:type="dxa"/>
            <w:noWrap w:val="0"/>
            <w:vAlign w:val="center"/>
          </w:tcPr>
          <w:p>
            <w:p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企业分管安全负责人、分管生产负责人、分管技术负责人应当具有一定的化工专业知识或者相应的专业学历，专职安全生产管理人员应当具备国民教育化工化学类（或安全工程）中等职业教育以上学历或者化工化学类中级以上专业技术职称。</w:t>
            </w:r>
            <w:r>
              <w:rPr>
                <w:rFonts w:hint="default" w:ascii="Times New Roman" w:hAnsi="Times New Roman" w:eastAsia="宋体" w:cs="Times New Roman"/>
                <w:color w:val="000000" w:themeColor="text1"/>
                <w:kern w:val="0"/>
                <w:sz w:val="21"/>
                <w:szCs w:val="21"/>
                <w14:textFill>
                  <w14:solidFill>
                    <w14:schemeClr w14:val="tx1"/>
                  </w14:solidFill>
                </w14:textFill>
              </w:rPr>
              <w:t>企业应当有危险物品安全类注册安全工程师从事安全生产管理工作。</w:t>
            </w:r>
          </w:p>
        </w:tc>
        <w:tc>
          <w:tcPr>
            <w:tcW w:w="2359" w:type="dxa"/>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《辽宁省危险化学品生产企业安全生产许可证实施细则》第十七条</w:t>
            </w:r>
          </w:p>
        </w:tc>
        <w:tc>
          <w:tcPr>
            <w:tcW w:w="2331" w:type="dxa"/>
            <w:noWrap w:val="0"/>
            <w:vAlign w:val="center"/>
          </w:tcPr>
          <w:p>
            <w:p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主要负责人、安全管理人员已参加安全生产培训，并经考核合格，取得安全</w:t>
            </w:r>
            <w:r>
              <w:rPr>
                <w:rFonts w:hint="default" w:ascii="Times New Roman" w:hAnsi="Times New Roman" w:eastAsia="宋体" w:cs="Times New Roman"/>
                <w:color w:val="000000" w:themeColor="text1"/>
                <w:sz w:val="21"/>
                <w:szCs w:val="21"/>
                <w:lang w:eastAsia="zh-CN"/>
                <w14:textFill>
                  <w14:solidFill>
                    <w14:schemeClr w14:val="tx1"/>
                  </w14:solidFill>
                </w14:textFill>
              </w:rPr>
              <w:t>合格</w:t>
            </w:r>
            <w:r>
              <w:rPr>
                <w:rFonts w:hint="default" w:ascii="Times New Roman" w:hAnsi="Times New Roman" w:eastAsia="宋体" w:cs="Times New Roman"/>
                <w:color w:val="000000" w:themeColor="text1"/>
                <w:sz w:val="21"/>
                <w:szCs w:val="21"/>
                <w14:textFill>
                  <w14:solidFill>
                    <w14:schemeClr w14:val="tx1"/>
                  </w14:solidFill>
                </w14:textFill>
              </w:rPr>
              <w:t>证。</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其他从业人员应当按照国家有关规定，经安全教育培训合格。</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《辽宁省危险化学品生产企业安全生产许可证实施细则》第十七条</w:t>
            </w:r>
          </w:p>
        </w:tc>
        <w:tc>
          <w:tcPr>
            <w:tcW w:w="2331" w:type="dxa"/>
            <w:noWrap w:val="0"/>
            <w:vAlign w:val="center"/>
          </w:tcPr>
          <w:p>
            <w:pPr>
              <w:adjustRightInd w:val="0"/>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企业的</w:t>
            </w:r>
            <w:r>
              <w:rPr>
                <w:rFonts w:hint="default" w:ascii="Times New Roman" w:hAnsi="Times New Roman" w:eastAsia="宋体" w:cs="Times New Roman"/>
                <w:color w:val="auto"/>
                <w:sz w:val="21"/>
                <w:szCs w:val="21"/>
              </w:rPr>
              <w:t>从业人员</w:t>
            </w:r>
            <w:r>
              <w:rPr>
                <w:rFonts w:hint="default" w:ascii="Times New Roman" w:hAnsi="Times New Roman" w:eastAsia="宋体" w:cs="Times New Roman"/>
                <w:color w:val="auto"/>
                <w:sz w:val="21"/>
                <w:szCs w:val="21"/>
                <w:lang w:eastAsia="zh-CN"/>
              </w:rPr>
              <w:t>均</w:t>
            </w:r>
            <w:r>
              <w:rPr>
                <w:rFonts w:hint="default" w:ascii="Times New Roman" w:hAnsi="Times New Roman" w:eastAsia="宋体" w:cs="Times New Roman"/>
                <w:color w:val="auto"/>
                <w:sz w:val="21"/>
                <w:szCs w:val="21"/>
              </w:rPr>
              <w:t>进行</w:t>
            </w:r>
            <w:r>
              <w:rPr>
                <w:rFonts w:hint="default" w:ascii="Times New Roman" w:hAnsi="Times New Roman" w:eastAsia="宋体" w:cs="Times New Roman"/>
                <w:color w:val="auto"/>
                <w:sz w:val="21"/>
                <w:szCs w:val="21"/>
                <w:lang w:eastAsia="zh-CN"/>
              </w:rPr>
              <w:t>了</w:t>
            </w:r>
            <w:r>
              <w:rPr>
                <w:rFonts w:hint="default" w:ascii="Times New Roman" w:hAnsi="Times New Roman" w:eastAsia="宋体" w:cs="Times New Roman"/>
                <w:color w:val="auto"/>
                <w:sz w:val="21"/>
                <w:szCs w:val="21"/>
              </w:rPr>
              <w:t>内部安全培训，培训合格后</w:t>
            </w:r>
            <w:r>
              <w:rPr>
                <w:rFonts w:hint="default" w:ascii="Times New Roman" w:hAnsi="Times New Roman" w:eastAsia="宋体" w:cs="Times New Roman"/>
                <w:color w:val="auto"/>
                <w:sz w:val="21"/>
                <w:szCs w:val="21"/>
                <w:lang w:eastAsia="zh-CN"/>
              </w:rPr>
              <w:t>方可</w:t>
            </w:r>
            <w:r>
              <w:rPr>
                <w:rFonts w:hint="default" w:ascii="Times New Roman" w:hAnsi="Times New Roman" w:eastAsia="宋体" w:cs="Times New Roman"/>
                <w:color w:val="auto"/>
                <w:sz w:val="21"/>
                <w:szCs w:val="21"/>
              </w:rPr>
              <w:t>上岗</w:t>
            </w:r>
            <w:r>
              <w:rPr>
                <w:rFonts w:hint="default" w:ascii="Times New Roman" w:hAnsi="Times New Roman" w:eastAsia="宋体" w:cs="Times New Roman"/>
                <w:color w:val="auto"/>
                <w:sz w:val="21"/>
                <w:szCs w:val="21"/>
                <w:lang w:eastAsia="zh-CN"/>
              </w:rPr>
              <w:t>。</w:t>
            </w:r>
          </w:p>
        </w:tc>
        <w:tc>
          <w:tcPr>
            <w:tcW w:w="733"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生产经营单位是否未使用国家明令淘汰、禁止使用的危及生产安全的工艺、设备。</w:t>
            </w:r>
          </w:p>
        </w:tc>
        <w:tc>
          <w:tcPr>
            <w:tcW w:w="2359" w:type="dxa"/>
            <w:noWrap w:val="0"/>
            <w:vAlign w:val="center"/>
          </w:tcPr>
          <w:p>
            <w:pPr>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sz w:val="21"/>
                <w:szCs w:val="21"/>
              </w:rPr>
              <w:t>辽宁省危险化学品生产企业安全生产许可证实施细则</w:t>
            </w:r>
            <w:r>
              <w:rPr>
                <w:rFonts w:hint="default" w:ascii="Times New Roman" w:hAnsi="Times New Roman" w:eastAsia="宋体" w:cs="Times New Roman"/>
                <w:color w:val="auto"/>
                <w:kern w:val="0"/>
                <w:sz w:val="21"/>
                <w:szCs w:val="21"/>
              </w:rPr>
              <w:t>》第十条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eastAsia" w:cs="Times New Roman"/>
                <w:color w:val="auto"/>
                <w:sz w:val="21"/>
                <w:szCs w:val="21"/>
                <w:lang w:eastAsia="zh-CN"/>
              </w:rPr>
              <w:t>该企业</w:t>
            </w:r>
            <w:r>
              <w:rPr>
                <w:rFonts w:hint="default" w:ascii="Times New Roman" w:hAnsi="Times New Roman" w:eastAsia="宋体" w:cs="Times New Roman"/>
                <w:color w:val="auto"/>
                <w:sz w:val="21"/>
                <w:szCs w:val="21"/>
              </w:rPr>
              <w:t>未使用国家明令淘汰、禁止使用的危及生产安全的工艺、设备。</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企业应当依法参加工伤保险，为从业人员缴纳保险费。</w:t>
            </w:r>
          </w:p>
        </w:tc>
        <w:tc>
          <w:tcPr>
            <w:tcW w:w="2359"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《辽宁省危险化学品生产企业安全生产许可证实施细则》第十九条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eastAsia" w:cs="Times New Roman"/>
                <w:color w:val="auto"/>
                <w:sz w:val="21"/>
                <w:szCs w:val="21"/>
                <w:lang w:eastAsia="zh-CN"/>
              </w:rPr>
              <w:t>该企业</w:t>
            </w:r>
            <w:r>
              <w:rPr>
                <w:rFonts w:hint="default" w:ascii="Times New Roman" w:hAnsi="Times New Roman" w:eastAsia="宋体" w:cs="Times New Roman"/>
                <w:color w:val="auto"/>
                <w:sz w:val="21"/>
                <w:szCs w:val="21"/>
                <w:lang w:eastAsia="zh-CN"/>
              </w:rPr>
              <w:t>依法</w:t>
            </w:r>
            <w:r>
              <w:rPr>
                <w:rFonts w:hint="default" w:ascii="Times New Roman" w:hAnsi="Times New Roman" w:eastAsia="宋体" w:cs="Times New Roman"/>
                <w:color w:val="auto"/>
                <w:sz w:val="21"/>
                <w:szCs w:val="21"/>
              </w:rPr>
              <w:t>为员工缴纳了工伤保险。</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top"/>
          </w:tcPr>
          <w:p>
            <w:pPr>
              <w:keepNext w:val="0"/>
              <w:keepLines w:val="0"/>
              <w:suppressLineNumbers w:val="0"/>
              <w:snapToGrid/>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snapToGrid/>
                <w:spacing w:val="0"/>
                <w:w w:val="100"/>
                <w:kern w:val="2"/>
                <w:sz w:val="21"/>
                <w:szCs w:val="21"/>
                <w:lang w:val="en-US" w:eastAsia="zh-CN" w:bidi="ar-SA"/>
              </w:rPr>
            </w:pPr>
            <w:r>
              <w:rPr>
                <w:rFonts w:hint="default" w:ascii="Times New Roman" w:hAnsi="Times New Roman" w:eastAsia="宋体" w:cs="Times New Roman"/>
                <w:snapToGrid/>
                <w:spacing w:val="0"/>
                <w:w w:val="100"/>
                <w:kern w:val="2"/>
                <w:sz w:val="21"/>
                <w:szCs w:val="21"/>
              </w:rPr>
              <w:t>生产经营单位应当根据有关法律、法规、规章和相关标准，结合本单位组织管理体系、生产规模和可能发生的事故特点，与相关预案保持衔接，确立本单位的应急预案体系，编制相应的应急预案，并体现自救互救和先期处置等特点。</w:t>
            </w:r>
          </w:p>
        </w:tc>
        <w:tc>
          <w:tcPr>
            <w:tcW w:w="2359"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color w:val="auto"/>
                <w:spacing w:val="0"/>
                <w:w w:val="100"/>
                <w:kern w:val="2"/>
                <w:sz w:val="21"/>
                <w:szCs w:val="21"/>
                <w:lang w:val="en-US" w:eastAsia="zh-CN" w:bidi="ar-SA"/>
              </w:rPr>
            </w:pPr>
            <w:r>
              <w:rPr>
                <w:rFonts w:hint="default" w:ascii="Times New Roman" w:hAnsi="Times New Roman" w:eastAsia="宋体" w:cs="Times New Roman"/>
                <w:snapToGrid/>
                <w:color w:val="auto"/>
                <w:spacing w:val="0"/>
                <w:w w:val="100"/>
                <w:kern w:val="2"/>
                <w:sz w:val="21"/>
                <w:szCs w:val="21"/>
                <w:lang w:val="en-US" w:eastAsia="zh-CN"/>
              </w:rPr>
              <w:t>《生产安全事故应急预案管理办法》第十二条</w:t>
            </w:r>
          </w:p>
        </w:tc>
        <w:tc>
          <w:tcPr>
            <w:tcW w:w="2331"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snapToGrid/>
                <w:color w:val="auto"/>
                <w:spacing w:val="0"/>
                <w:w w:val="10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rPr>
              <w:t>编制了应急预案，确定了预案体系。</w:t>
            </w:r>
          </w:p>
        </w:tc>
        <w:tc>
          <w:tcPr>
            <w:tcW w:w="733" w:type="dxa"/>
            <w:noWrap w:val="0"/>
            <w:vAlign w:val="center"/>
          </w:tcPr>
          <w:p>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spacing w:val="0"/>
                <w:w w:val="100"/>
                <w:kern w:val="2"/>
                <w:sz w:val="21"/>
                <w:szCs w:val="21"/>
                <w:lang w:val="en-US" w:eastAsia="zh-CN" w:bidi="ar-SA"/>
              </w:rPr>
            </w:pPr>
            <w:r>
              <w:rPr>
                <w:rFonts w:hint="default" w:ascii="Times New Roman" w:hAnsi="Times New Roman" w:eastAsia="宋体" w:cs="Times New Roman"/>
                <w:snapToGrid/>
                <w:spacing w:val="0"/>
                <w:w w:val="100"/>
                <w:kern w:val="2"/>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对其可能发生的生产安全事故是否按照国家有关规定编制应急预案，并报有关部门备案。</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《辽宁省危险化学品生产企业安全生产许可证实施细则》第二十二条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企业已</w:t>
            </w:r>
            <w:r>
              <w:rPr>
                <w:rFonts w:hint="default" w:ascii="Times New Roman" w:hAnsi="Times New Roman" w:eastAsia="宋体" w:cs="Times New Roman"/>
                <w:color w:val="auto"/>
                <w:sz w:val="21"/>
                <w:szCs w:val="21"/>
              </w:rPr>
              <w:t>编制应急预案，并</w:t>
            </w:r>
            <w:r>
              <w:rPr>
                <w:rFonts w:hint="eastAsia" w:ascii="Times New Roman" w:hAnsi="Times New Roman" w:eastAsia="宋体" w:cs="Times New Roman"/>
                <w:color w:val="auto"/>
                <w:sz w:val="21"/>
                <w:szCs w:val="21"/>
                <w:lang w:eastAsia="zh-CN"/>
              </w:rPr>
              <w:t>在</w:t>
            </w:r>
            <w:r>
              <w:rPr>
                <w:rFonts w:hint="eastAsia" w:cs="Times New Roman"/>
                <w:color w:val="auto"/>
                <w:sz w:val="21"/>
                <w:szCs w:val="21"/>
                <w:lang w:eastAsia="zh-CN"/>
              </w:rPr>
              <w:t>黑山县应急管理局</w:t>
            </w:r>
            <w:r>
              <w:rPr>
                <w:rFonts w:hint="default" w:ascii="Times New Roman" w:hAnsi="Times New Roman" w:eastAsia="宋体" w:cs="Times New Roman"/>
                <w:color w:val="auto"/>
                <w:sz w:val="21"/>
                <w:szCs w:val="21"/>
              </w:rPr>
              <w:t>备案</w:t>
            </w:r>
            <w:r>
              <w:rPr>
                <w:rFonts w:hint="default" w:ascii="Times New Roman" w:hAnsi="Times New Roman" w:eastAsia="宋体" w:cs="Times New Roman"/>
                <w:color w:val="auto"/>
                <w:sz w:val="21"/>
                <w:szCs w:val="21"/>
                <w:lang w:eastAsia="zh-CN"/>
              </w:rPr>
              <w:t>完成</w:t>
            </w:r>
            <w:r>
              <w:rPr>
                <w:rFonts w:hint="default" w:ascii="Times New Roman" w:hAnsi="Times New Roman" w:eastAsia="宋体" w:cs="Times New Roman"/>
                <w:color w:val="auto"/>
                <w:sz w:val="21"/>
                <w:szCs w:val="21"/>
              </w:rPr>
              <w:t>。</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企业应制定本单位的应急预案演练计划，每半年至少组织一次安全生产事故应急预案演练。</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《生产安全事故应急预案管理办法》第三十三条</w:t>
            </w:r>
          </w:p>
        </w:tc>
        <w:tc>
          <w:tcPr>
            <w:tcW w:w="2331" w:type="dxa"/>
            <w:noWrap w:val="0"/>
            <w:vAlign w:val="center"/>
          </w:tcPr>
          <w:p>
            <w:pPr>
              <w:spacing w:line="240" w:lineRule="auto"/>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企业制定了应急演练计划，并且</w:t>
            </w:r>
            <w:r>
              <w:rPr>
                <w:rFonts w:hint="default" w:ascii="Times New Roman" w:hAnsi="Times New Roman" w:eastAsia="宋体" w:cs="Times New Roman"/>
                <w:color w:val="auto"/>
                <w:sz w:val="21"/>
                <w:szCs w:val="21"/>
                <w:lang w:eastAsia="zh-CN"/>
              </w:rPr>
              <w:t>至少每半年组织一次</w:t>
            </w:r>
            <w:r>
              <w:rPr>
                <w:rFonts w:hint="default" w:ascii="Times New Roman" w:hAnsi="Times New Roman" w:eastAsia="宋体" w:cs="Times New Roman"/>
                <w:color w:val="auto"/>
                <w:sz w:val="21"/>
                <w:szCs w:val="21"/>
              </w:rPr>
              <w:t>应急演练。</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9"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企业应当依法进行危险化学品登记，为用户提供化学品安全技术说明书，并在危险化学品包装（包括外包装件）上粘贴或者</w:t>
            </w:r>
            <w:r>
              <w:rPr>
                <w:rFonts w:hint="eastAsia" w:ascii="Times New Roman" w:hAnsi="Times New Roman" w:eastAsia="宋体" w:cs="Times New Roman"/>
                <w:color w:val="auto"/>
                <w:sz w:val="21"/>
                <w:szCs w:val="21"/>
                <w:lang w:eastAsia="zh-CN"/>
              </w:rPr>
              <w:t>拴挂</w:t>
            </w:r>
            <w:r>
              <w:rPr>
                <w:rFonts w:hint="default" w:ascii="Times New Roman" w:hAnsi="Times New Roman" w:eastAsia="宋体" w:cs="Times New Roman"/>
                <w:color w:val="auto"/>
                <w:sz w:val="21"/>
                <w:szCs w:val="21"/>
              </w:rPr>
              <w:t>与包装内危险化学品相符的化学品安全标签。</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《辽宁省危险化学品生产企业安全生产许可证实施细则》第二十一条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依法进行危险化学品登记，为用户提供化学品安全技术说明书，并在危险化学品包装（包括外包装件）上粘贴或者栓挂与包装内危险化学品相符的化学品安全标签。</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企业应当根据危险化学品的生产工艺、技术、设备特点和原辅料、产品的危险性编制岗位操作安全规程。</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《辽宁省危险化学品生产企业安全生产许可证实施细则》第十六条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企业已根据自身情况编制了各个岗位操作安全规程。</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企业应当按照国家规定提取与安全生产有关的费用，并保证安全生产所必须的资金投入。</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《辽宁省危险化学品生产企业安全生产许可证实施细则》第十八条</w:t>
            </w:r>
          </w:p>
        </w:tc>
        <w:tc>
          <w:tcPr>
            <w:tcW w:w="2331" w:type="dxa"/>
            <w:noWrap w:val="0"/>
            <w:vAlign w:val="center"/>
          </w:tcPr>
          <w:p>
            <w:pPr>
              <w:spacing w:line="240" w:lineRule="auto"/>
              <w:jc w:val="both"/>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企业已按要求</w:t>
            </w:r>
            <w:r>
              <w:rPr>
                <w:rFonts w:hint="default" w:ascii="Times New Roman" w:hAnsi="Times New Roman" w:eastAsia="宋体" w:cs="Times New Roman"/>
                <w:color w:val="FF0000"/>
                <w:sz w:val="21"/>
                <w:szCs w:val="21"/>
                <w:lang w:eastAsia="zh-CN"/>
              </w:rPr>
              <w:t>进行了</w:t>
            </w:r>
            <w:r>
              <w:rPr>
                <w:rFonts w:hint="default" w:ascii="Times New Roman" w:hAnsi="Times New Roman" w:eastAsia="宋体" w:cs="Times New Roman"/>
                <w:color w:val="FF0000"/>
                <w:sz w:val="21"/>
                <w:szCs w:val="21"/>
              </w:rPr>
              <w:t>安全生产投入，近三年安全投入项目明细见附件。</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1.企业应建立并不断完善危险作业许可制度，规范动火、进入受限空间、动土、临时用电、高处作业、断路、吊装、抽堵盲板等特殊作业的安全条件和审批程序； </w:t>
            </w:r>
          </w:p>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2.实施特殊作业前，必须办理审批手续。</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《关于加强化工过程安全管理的指导意见》（安监总管三</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2013</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88 号）第十八条</w:t>
            </w:r>
          </w:p>
        </w:tc>
        <w:tc>
          <w:tcPr>
            <w:tcW w:w="2331" w:type="dxa"/>
            <w:noWrap w:val="0"/>
            <w:vAlign w:val="center"/>
          </w:tcPr>
          <w:p>
            <w:pPr>
              <w:spacing w:line="240" w:lineRule="auto"/>
              <w:jc w:val="both"/>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企业对特殊作业管理符合要求，进行特殊作业前，办理</w:t>
            </w:r>
            <w:r>
              <w:rPr>
                <w:rFonts w:hint="default" w:ascii="Times New Roman" w:hAnsi="Times New Roman" w:eastAsia="宋体" w:cs="Times New Roman"/>
                <w:color w:val="auto"/>
                <w:sz w:val="21"/>
                <w:szCs w:val="21"/>
                <w:lang w:eastAsia="zh-CN"/>
              </w:rPr>
              <w:t>作业票</w:t>
            </w:r>
            <w:r>
              <w:rPr>
                <w:rFonts w:hint="default" w:ascii="Times New Roman" w:hAnsi="Times New Roman" w:eastAsia="宋体" w:cs="Times New Roman"/>
                <w:color w:val="auto"/>
                <w:sz w:val="21"/>
                <w:szCs w:val="21"/>
              </w:rPr>
              <w:t>审批手续</w:t>
            </w:r>
            <w:r>
              <w:rPr>
                <w:rFonts w:hint="eastAsia" w:cs="Times New Roman"/>
                <w:color w:val="auto"/>
                <w:sz w:val="21"/>
                <w:szCs w:val="21"/>
                <w:lang w:eastAsia="zh-CN"/>
              </w:rPr>
              <w:t>。</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pacing w:line="240" w:lineRule="auto"/>
              <w:ind w:left="-46" w:leftChars="-22" w:right="-63" w:rightChars="-30"/>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企业分管安全负责人、分管生产负责人、分管技术负责人应当具有一定的化工专业知识或者相应的专业学历。</w:t>
            </w:r>
          </w:p>
        </w:tc>
        <w:tc>
          <w:tcPr>
            <w:tcW w:w="2359" w:type="dxa"/>
            <w:noWrap w:val="0"/>
            <w:vAlign w:val="center"/>
          </w:tcPr>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《危险化学品生产企业安全生产许可证实</w:t>
            </w:r>
          </w:p>
          <w:p>
            <w:pPr>
              <w:spacing w:line="240" w:lineRule="auto"/>
              <w:ind w:left="-46" w:leftChars="-22" w:right="-63" w:rightChars="-3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施办法》第十六条</w:t>
            </w:r>
          </w:p>
        </w:tc>
        <w:tc>
          <w:tcPr>
            <w:tcW w:w="2331"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w:t>
            </w:r>
            <w:r>
              <w:rPr>
                <w:rFonts w:hint="default" w:ascii="Times New Roman" w:hAnsi="Times New Roman" w:eastAsia="宋体" w:cs="Times New Roman"/>
                <w:color w:val="auto"/>
                <w:sz w:val="21"/>
                <w:szCs w:val="21"/>
              </w:rPr>
              <w:t>业分管安全负责人具有化工专业知识。</w:t>
            </w:r>
          </w:p>
        </w:tc>
        <w:tc>
          <w:tcPr>
            <w:tcW w:w="733" w:type="dxa"/>
            <w:noWrap w:val="0"/>
            <w:vAlign w:val="center"/>
          </w:tcPr>
          <w:p>
            <w:pPr>
              <w:spacing w:line="240" w:lineRule="auto"/>
              <w:ind w:left="-63" w:leftChars="-30" w:right="-61" w:rightChars="-29"/>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ind w:left="-46" w:leftChars="-22" w:right="-63" w:rightChars="-3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特种作业人员必须经专门的安全技术培训并考核合格，取得特种作业操作证后，方可上岗作业。</w:t>
            </w:r>
          </w:p>
        </w:tc>
        <w:tc>
          <w:tcPr>
            <w:tcW w:w="2359" w:type="dxa"/>
            <w:noWrap w:val="0"/>
            <w:vAlign w:val="center"/>
          </w:tcPr>
          <w:p>
            <w:pPr>
              <w:ind w:left="-46" w:leftChars="-22" w:right="-63" w:rightChars="-3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《特种作业人员安全技术培训考核管理规 </w:t>
            </w:r>
          </w:p>
          <w:p>
            <w:pPr>
              <w:ind w:left="-46" w:leftChars="-22" w:right="-63" w:rightChars="-3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定》第五</w:t>
            </w:r>
            <w:r>
              <w:rPr>
                <w:rFonts w:hint="eastAsia" w:ascii="宋体" w:hAnsi="宋体" w:eastAsia="宋体" w:cs="宋体"/>
                <w:color w:val="auto"/>
                <w:szCs w:val="21"/>
                <w:highlight w:val="none"/>
                <w:lang w:eastAsia="zh-CN"/>
              </w:rPr>
              <w:t>条</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第</w:t>
            </w:r>
            <w:r>
              <w:rPr>
                <w:rFonts w:hint="eastAsia" w:ascii="宋体" w:hAnsi="宋体" w:eastAsia="宋体" w:cs="宋体"/>
                <w:color w:val="auto"/>
                <w:szCs w:val="21"/>
                <w:highlight w:val="none"/>
              </w:rPr>
              <w:t>二十条</w:t>
            </w:r>
          </w:p>
        </w:tc>
        <w:tc>
          <w:tcPr>
            <w:tcW w:w="2331" w:type="dxa"/>
            <w:noWrap w:val="0"/>
            <w:vAlign w:val="center"/>
          </w:tcPr>
          <w:p>
            <w:pPr>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eastAsia="zh-CN"/>
              </w:rPr>
              <w:t>电工</w:t>
            </w:r>
            <w:r>
              <w:rPr>
                <w:rFonts w:hint="eastAsia" w:ascii="宋体" w:hAnsi="宋体" w:cs="宋体"/>
                <w:color w:val="auto"/>
                <w:szCs w:val="21"/>
                <w:highlight w:val="none"/>
                <w:lang w:eastAsia="zh-CN"/>
              </w:rPr>
              <w:t>、锅炉工</w:t>
            </w:r>
            <w:r>
              <w:rPr>
                <w:rFonts w:hint="eastAsia" w:ascii="宋体" w:hAnsi="宋体" w:eastAsia="宋体" w:cs="宋体"/>
                <w:color w:val="auto"/>
                <w:szCs w:val="21"/>
                <w:highlight w:val="none"/>
              </w:rPr>
              <w:t>特种作业人员</w:t>
            </w:r>
            <w:r>
              <w:rPr>
                <w:rFonts w:hint="eastAsia" w:ascii="宋体" w:hAnsi="宋体" w:cs="宋体"/>
                <w:color w:val="auto"/>
                <w:szCs w:val="21"/>
                <w:highlight w:val="none"/>
                <w:lang w:eastAsia="zh-CN"/>
              </w:rPr>
              <w:t>等</w:t>
            </w:r>
            <w:r>
              <w:rPr>
                <w:rFonts w:hint="eastAsia" w:ascii="宋体" w:hAnsi="宋体" w:eastAsia="宋体" w:cs="宋体"/>
                <w:color w:val="auto"/>
                <w:szCs w:val="21"/>
                <w:highlight w:val="none"/>
                <w:lang w:eastAsia="zh-CN"/>
              </w:rPr>
              <w:t>均取得了</w:t>
            </w:r>
            <w:r>
              <w:rPr>
                <w:rFonts w:hint="eastAsia" w:ascii="宋体" w:hAnsi="宋体" w:eastAsia="宋体" w:cs="宋体"/>
                <w:color w:val="auto"/>
                <w:szCs w:val="21"/>
                <w:highlight w:val="none"/>
              </w:rPr>
              <w:t>特种作业</w:t>
            </w:r>
            <w:r>
              <w:rPr>
                <w:rFonts w:hint="eastAsia" w:ascii="宋体" w:hAnsi="宋体" w:eastAsia="宋体" w:cs="宋体"/>
                <w:color w:val="auto"/>
                <w:szCs w:val="21"/>
                <w:highlight w:val="none"/>
                <w:lang w:eastAsia="zh-CN"/>
              </w:rPr>
              <w:t>操作证</w:t>
            </w:r>
            <w:r>
              <w:rPr>
                <w:rFonts w:hint="eastAsia" w:ascii="宋体" w:hAnsi="宋体" w:cs="宋体"/>
                <w:color w:val="auto"/>
                <w:szCs w:val="21"/>
                <w:highlight w:val="none"/>
                <w:lang w:eastAsia="zh-CN"/>
              </w:rPr>
              <w:t>。</w:t>
            </w:r>
          </w:p>
        </w:tc>
        <w:tc>
          <w:tcPr>
            <w:tcW w:w="733" w:type="dxa"/>
            <w:noWrap w:val="0"/>
            <w:vAlign w:val="center"/>
          </w:tcPr>
          <w:p>
            <w:pPr>
              <w:ind w:left="-63" w:leftChars="-30" w:right="-61" w:rightChars="-29"/>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napToGrid/>
              <w:spacing w:line="240" w:lineRule="auto"/>
              <w:ind w:left="0" w:leftChars="0" w:firstLine="0" w:firstLineChars="0"/>
              <w:jc w:val="both"/>
              <w:rPr>
                <w:rFonts w:hint="eastAsia" w:ascii="宋体" w:hAnsi="宋体" w:cs="宋体"/>
                <w:color w:val="000000"/>
                <w:spacing w:val="0"/>
                <w:kern w:val="2"/>
                <w:sz w:val="21"/>
                <w:szCs w:val="21"/>
                <w:lang w:val="en-US" w:eastAsia="zh-CN" w:bidi="ar-SA"/>
              </w:rPr>
            </w:pPr>
            <w:r>
              <w:rPr>
                <w:rFonts w:hint="eastAsia" w:ascii="宋体" w:hAnsi="宋体" w:cs="宋体"/>
                <w:color w:val="000000"/>
                <w:spacing w:val="0"/>
                <w:kern w:val="2"/>
                <w:sz w:val="21"/>
                <w:szCs w:val="21"/>
              </w:rPr>
              <w:t>特种设备使用单位应当按照安全技术规范的要求，在检验合格有效期届满前一个月向特种设备检验机构提出定期检验要求。特种设备检验机构接到定期检验要求后，应当按照安全技术规范的要求及时进行安全性能检验。特种设备使用单位应当将定期检验标志置于该特种设备的显著位置。未经定期检验或者检验不合格的特种设备，不得继续使用。</w:t>
            </w:r>
          </w:p>
        </w:tc>
        <w:tc>
          <w:tcPr>
            <w:tcW w:w="2359" w:type="dxa"/>
            <w:noWrap w:val="0"/>
            <w:vAlign w:val="center"/>
          </w:tcPr>
          <w:p>
            <w:pPr>
              <w:spacing w:line="240" w:lineRule="auto"/>
              <w:jc w:val="center"/>
              <w:rPr>
                <w:rFonts w:hint="eastAsia" w:ascii="Times New Roman" w:hAnsi="Times New Roman" w:eastAsia="宋体" w:cs="Times New Roman"/>
                <w:color w:val="auto"/>
                <w:sz w:val="21"/>
                <w:szCs w:val="21"/>
                <w:shd w:val="clear" w:color="auto" w:fill="FFFFFF"/>
                <w:lang w:val="en-US" w:eastAsia="zh-CN"/>
              </w:rPr>
            </w:pPr>
            <w:r>
              <w:rPr>
                <w:rFonts w:hint="eastAsia" w:ascii="Times New Roman" w:hAnsi="Times New Roman" w:eastAsia="宋体" w:cs="Times New Roman"/>
                <w:color w:val="auto"/>
                <w:sz w:val="21"/>
                <w:szCs w:val="21"/>
                <w:shd w:val="clear" w:color="auto" w:fill="FFFFFF"/>
              </w:rPr>
              <w:t>《中华人民共和国特种设备安全法》（中华人民共和国主席令[2013]第4号）第四十条</w:t>
            </w:r>
          </w:p>
        </w:tc>
        <w:tc>
          <w:tcPr>
            <w:tcW w:w="2331" w:type="dxa"/>
            <w:noWrap w:val="0"/>
            <w:vAlign w:val="center"/>
          </w:tcPr>
          <w:p>
            <w:pPr>
              <w:spacing w:line="240" w:lineRule="auto"/>
              <w:ind w:left="0" w:leftChars="0" w:firstLine="0" w:firstLineChars="0"/>
              <w:jc w:val="both"/>
              <w:rPr>
                <w:rFonts w:hint="eastAsia"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提供了锅炉和压力容器的检验检测报告。</w:t>
            </w:r>
          </w:p>
        </w:tc>
        <w:tc>
          <w:tcPr>
            <w:tcW w:w="733" w:type="dxa"/>
            <w:noWrap w:val="0"/>
            <w:vAlign w:val="center"/>
          </w:tcPr>
          <w:p>
            <w:pPr>
              <w:spacing w:line="240" w:lineRule="auto"/>
              <w:ind w:left="0" w:leftChars="0" w:firstLine="0" w:firstLineChars="0"/>
              <w:jc w:val="center"/>
              <w:rPr>
                <w:rFonts w:hint="eastAsia" w:ascii="宋体" w:hAnsi="宋体" w:eastAsia="宋体" w:cs="宋体"/>
                <w:color w:val="000000"/>
                <w:spacing w:val="0"/>
                <w:kern w:val="2"/>
                <w:sz w:val="21"/>
                <w:szCs w:val="21"/>
                <w:lang w:val="en-US" w:eastAsia="zh-CN" w:bidi="ar-SA"/>
              </w:rPr>
            </w:pPr>
            <w:r>
              <w:rPr>
                <w:rFonts w:hint="eastAsia" w:ascii="宋体" w:hAnsi="宋体" w:cs="宋体"/>
                <w:color w:val="000000"/>
                <w:spacing w:val="0"/>
                <w:kern w:val="2"/>
                <w:sz w:val="21"/>
                <w:szCs w:val="21"/>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snapToGrid/>
              <w:spacing w:line="240" w:lineRule="auto"/>
              <w:ind w:left="0" w:leftChars="0" w:firstLine="0" w:firstLineChars="0"/>
              <w:jc w:val="both"/>
              <w:rPr>
                <w:rFonts w:hint="default" w:ascii="宋体" w:hAnsi="宋体" w:cs="宋体"/>
                <w:color w:val="000000"/>
                <w:spacing w:val="0"/>
                <w:kern w:val="2"/>
                <w:sz w:val="21"/>
                <w:szCs w:val="21"/>
                <w:lang w:val="en-US" w:eastAsia="zh-CN"/>
              </w:rPr>
            </w:pPr>
            <w:r>
              <w:rPr>
                <w:rFonts w:hint="eastAsia" w:ascii="宋体" w:hAnsi="宋体" w:cs="宋体"/>
                <w:color w:val="000000"/>
                <w:spacing w:val="0"/>
                <w:kern w:val="2"/>
                <w:sz w:val="21"/>
                <w:szCs w:val="21"/>
              </w:rPr>
              <w:t>自2020年4月起，对涉及“两重点一重大”生产装置和储存设施的企业，新入职的主要负责人和主管生产、设备、技术、安全的负责人及安全生产管理人员必须具备化学、化工、安全等相关专业大专及以上学历或化工类中级及以上职称，新入职的涉及重大危险源、重点监管化工工艺的生产装置、储存设施操作人员必须具备高中及以上学历或化工类中等及以上职业教育水平，新入职的涉及爆炸危险性化学品的生产装置和储存设施的操作人员必须具备化工类大专及以上学历；不符合上述要求的现有人员应在2022年底前达到相应水平。</w:t>
            </w:r>
          </w:p>
        </w:tc>
        <w:tc>
          <w:tcPr>
            <w:tcW w:w="2359" w:type="dxa"/>
            <w:noWrap w:val="0"/>
            <w:vAlign w:val="center"/>
          </w:tcPr>
          <w:p>
            <w:pPr>
              <w:spacing w:line="240" w:lineRule="auto"/>
              <w:jc w:val="center"/>
              <w:rPr>
                <w:rFonts w:hint="default" w:ascii="Times New Roman" w:hAnsi="Times New Roman" w:eastAsia="宋体" w:cs="Times New Roman"/>
                <w:color w:val="auto"/>
                <w:sz w:val="21"/>
                <w:szCs w:val="21"/>
                <w:shd w:val="clear" w:color="auto" w:fill="FFFFFF"/>
                <w:lang w:val="en-US" w:eastAsia="zh-CN"/>
              </w:rPr>
            </w:pPr>
            <w:r>
              <w:rPr>
                <w:rFonts w:hint="eastAsia" w:ascii="Times New Roman" w:hAnsi="Times New Roman" w:eastAsia="宋体" w:cs="Times New Roman"/>
                <w:color w:val="auto"/>
                <w:sz w:val="21"/>
                <w:szCs w:val="21"/>
                <w:shd w:val="clear" w:color="auto" w:fill="FFFFFF"/>
              </w:rPr>
              <w:t>《危险化学品安全专项整治三年行动实施方案》</w:t>
            </w:r>
          </w:p>
        </w:tc>
        <w:tc>
          <w:tcPr>
            <w:tcW w:w="2331" w:type="dxa"/>
            <w:noWrap w:val="0"/>
            <w:vAlign w:val="center"/>
          </w:tcPr>
          <w:p>
            <w:pPr>
              <w:spacing w:line="240" w:lineRule="auto"/>
              <w:ind w:left="0" w:leftChars="0" w:firstLine="0" w:firstLineChars="0"/>
              <w:jc w:val="both"/>
              <w:rPr>
                <w:rFonts w:hint="default" w:ascii="Times New Roman" w:hAnsi="Times New Roman" w:eastAsia="宋体" w:cs="Times New Roman"/>
                <w:color w:val="000000"/>
                <w:spacing w:val="0"/>
                <w:kern w:val="2"/>
                <w:sz w:val="21"/>
                <w:szCs w:val="21"/>
                <w:lang w:val="en-US" w:eastAsia="zh-CN"/>
              </w:rPr>
            </w:pPr>
            <w:r>
              <w:rPr>
                <w:rFonts w:hint="eastAsia" w:ascii="Times New Roman" w:hAnsi="Times New Roman" w:eastAsia="宋体" w:cs="Times New Roman"/>
                <w:color w:val="000000"/>
                <w:spacing w:val="0"/>
                <w:kern w:val="2"/>
                <w:sz w:val="21"/>
                <w:szCs w:val="21"/>
                <w:lang w:val="en-US" w:eastAsia="zh-CN"/>
              </w:rPr>
              <w:t>该企业不涉及两重点一重大生产装置和储存设施。</w:t>
            </w:r>
          </w:p>
        </w:tc>
        <w:tc>
          <w:tcPr>
            <w:tcW w:w="733" w:type="dxa"/>
            <w:noWrap w:val="0"/>
            <w:vAlign w:val="center"/>
          </w:tcPr>
          <w:p>
            <w:pPr>
              <w:adjustRightInd w:val="0"/>
              <w:spacing w:line="360" w:lineRule="auto"/>
              <w:jc w:val="center"/>
              <w:rPr>
                <w:rFonts w:hint="default" w:ascii="宋体" w:hAnsi="宋体" w:eastAsia="宋体" w:cs="宋体"/>
                <w:b/>
                <w:bCs/>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ind w:left="-46" w:leftChars="-22" w:right="-63" w:rightChars="-3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压力表的校验和维护应当符合国家计量部门的有关规定。压力表安装前应进行检定，在刻度盘上应划出指示最高工作压力的红线，注明下次检定日期。压力表检定后应加铅封。</w:t>
            </w:r>
          </w:p>
        </w:tc>
        <w:tc>
          <w:tcPr>
            <w:tcW w:w="2359" w:type="dxa"/>
            <w:noWrap w:val="0"/>
            <w:vAlign w:val="center"/>
          </w:tcPr>
          <w:p>
            <w:pPr>
              <w:spacing w:line="240" w:lineRule="auto"/>
              <w:ind w:left="-46" w:leftChars="-22" w:right="-63" w:rightChars="-3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《固定式压力容器安全技术监察规程》</w:t>
            </w:r>
            <w:r>
              <w:rPr>
                <w:rFonts w:hint="eastAsia" w:cs="Times New Roman"/>
                <w:color w:val="auto"/>
                <w:sz w:val="21"/>
                <w:szCs w:val="21"/>
                <w:lang w:eastAsia="zh-CN"/>
              </w:rPr>
              <w:t>（</w:t>
            </w:r>
            <w:r>
              <w:rPr>
                <w:rFonts w:hint="eastAsia" w:ascii="Times New Roman" w:hAnsi="Times New Roman" w:eastAsia="宋体" w:cs="Times New Roman"/>
                <w:color w:val="auto"/>
                <w:sz w:val="21"/>
                <w:szCs w:val="21"/>
              </w:rPr>
              <w:t>TSG 21-2016</w:t>
            </w:r>
            <w:r>
              <w:rPr>
                <w:rFonts w:hint="eastAsia" w:cs="Times New Roman"/>
                <w:color w:val="auto"/>
                <w:sz w:val="21"/>
                <w:szCs w:val="21"/>
                <w:lang w:eastAsia="zh-CN"/>
              </w:rPr>
              <w:t>）</w:t>
            </w:r>
            <w:r>
              <w:rPr>
                <w:rFonts w:hint="eastAsia" w:ascii="Times New Roman" w:hAnsi="Times New Roman" w:eastAsia="宋体" w:cs="Times New Roman"/>
                <w:color w:val="auto"/>
                <w:sz w:val="21"/>
                <w:szCs w:val="21"/>
              </w:rPr>
              <w:t>第9.2.1.2条</w:t>
            </w:r>
          </w:p>
        </w:tc>
        <w:tc>
          <w:tcPr>
            <w:tcW w:w="2331" w:type="dxa"/>
            <w:noWrap w:val="0"/>
            <w:vAlign w:val="center"/>
          </w:tcPr>
          <w:p>
            <w:pPr>
              <w:ind w:left="-46" w:leftChars="-22" w:right="-63" w:rightChars="-3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压力表已检定。</w:t>
            </w:r>
          </w:p>
        </w:tc>
        <w:tc>
          <w:tcPr>
            <w:tcW w:w="733" w:type="dxa"/>
            <w:noWrap w:val="0"/>
            <w:vAlign w:val="center"/>
          </w:tcPr>
          <w:p>
            <w:pPr>
              <w:adjustRightInd w:val="0"/>
              <w:spacing w:line="36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556" w:type="dxa"/>
            <w:noWrap w:val="0"/>
            <w:vAlign w:val="center"/>
          </w:tcPr>
          <w:p>
            <w:pPr>
              <w:numPr>
                <w:ilvl w:val="0"/>
                <w:numId w:val="25"/>
              </w:numPr>
              <w:spacing w:line="240" w:lineRule="auto"/>
              <w:ind w:left="480" w:leftChars="0" w:hanging="377" w:firstLineChars="0"/>
              <w:jc w:val="center"/>
              <w:rPr>
                <w:rFonts w:hint="default" w:ascii="Times New Roman" w:hAnsi="Times New Roman" w:eastAsia="宋体" w:cs="Times New Roman"/>
                <w:color w:val="auto"/>
                <w:sz w:val="21"/>
                <w:szCs w:val="21"/>
              </w:rPr>
            </w:pPr>
          </w:p>
        </w:tc>
        <w:tc>
          <w:tcPr>
            <w:tcW w:w="3273" w:type="dxa"/>
            <w:noWrap w:val="0"/>
            <w:vAlign w:val="center"/>
          </w:tcPr>
          <w:p>
            <w:pPr>
              <w:ind w:left="-46" w:leftChars="-22" w:right="-63" w:rightChars="-3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安全阀定期校验，一般每年至少一次，安全技术规范有相应规定的从其规定。</w:t>
            </w:r>
          </w:p>
        </w:tc>
        <w:tc>
          <w:tcPr>
            <w:tcW w:w="2359" w:type="dxa"/>
            <w:noWrap w:val="0"/>
            <w:vAlign w:val="center"/>
          </w:tcPr>
          <w:p>
            <w:pPr>
              <w:spacing w:line="240" w:lineRule="auto"/>
              <w:ind w:left="-46" w:leftChars="-22" w:right="-63" w:rightChars="-3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《安全阀安全技术监察规程》</w:t>
            </w:r>
            <w:r>
              <w:rPr>
                <w:rFonts w:hint="eastAsia" w:cs="Times New Roman"/>
                <w:color w:val="auto"/>
                <w:sz w:val="21"/>
                <w:szCs w:val="21"/>
                <w:lang w:eastAsia="zh-CN"/>
              </w:rPr>
              <w:t>（</w:t>
            </w:r>
            <w:r>
              <w:rPr>
                <w:rFonts w:hint="eastAsia" w:ascii="Times New Roman" w:hAnsi="Times New Roman" w:eastAsia="宋体" w:cs="Times New Roman"/>
                <w:color w:val="auto"/>
                <w:sz w:val="21"/>
                <w:szCs w:val="21"/>
              </w:rPr>
              <w:t>TSG ZF001-2006</w:t>
            </w:r>
            <w:r>
              <w:rPr>
                <w:rFonts w:hint="eastAsia" w:cs="Times New Roman"/>
                <w:color w:val="auto"/>
                <w:sz w:val="21"/>
                <w:szCs w:val="21"/>
                <w:lang w:eastAsia="zh-CN"/>
              </w:rPr>
              <w:t>）</w:t>
            </w:r>
          </w:p>
          <w:p>
            <w:pPr>
              <w:spacing w:line="240" w:lineRule="auto"/>
              <w:ind w:left="-46" w:leftChars="-22" w:right="-63" w:rightChars="-3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第B6.3.1条</w:t>
            </w:r>
          </w:p>
        </w:tc>
        <w:tc>
          <w:tcPr>
            <w:tcW w:w="2331" w:type="dxa"/>
            <w:noWrap w:val="0"/>
            <w:vAlign w:val="center"/>
          </w:tcPr>
          <w:p>
            <w:pPr>
              <w:ind w:left="-46" w:leftChars="-22" w:right="-63" w:rightChars="-3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安全阀已校准。</w:t>
            </w:r>
          </w:p>
        </w:tc>
        <w:tc>
          <w:tcPr>
            <w:tcW w:w="733" w:type="dxa"/>
            <w:noWrap w:val="0"/>
            <w:vAlign w:val="center"/>
          </w:tcPr>
          <w:p>
            <w:pPr>
              <w:adjustRightInd w:val="0"/>
              <w:spacing w:line="360" w:lineRule="auto"/>
              <w:jc w:val="center"/>
              <w:rPr>
                <w:rFonts w:hint="eastAsia" w:ascii="宋体" w:hAnsi="宋体" w:eastAsia="宋体" w:cs="宋体"/>
                <w:kern w:val="2"/>
                <w:sz w:val="21"/>
                <w:szCs w:val="21"/>
                <w:lang w:val="en-US" w:eastAsia="zh-CN" w:bidi="ar-SA"/>
              </w:rPr>
            </w:pPr>
            <w:r>
              <w:rPr>
                <w:rFonts w:hint="eastAsia" w:ascii="宋体" w:hAnsi="宋体" w:cs="宋体"/>
                <w:szCs w:val="21"/>
              </w:rPr>
              <w:t>符合</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560" w:firstLineChars="200"/>
        <w:jc w:val="left"/>
        <w:textAlignment w:val="auto"/>
        <w:rPr>
          <w:rFonts w:hint="eastAsia" w:ascii="Times New Roman" w:hAnsi="Times New Roman" w:eastAsia="宋体" w:cs="Times New Roman"/>
          <w:kern w:val="2"/>
          <w:sz w:val="28"/>
          <w:szCs w:val="28"/>
          <w:lang w:val="zh-CN" w:eastAsia="zh-CN" w:bidi="ar-SA"/>
        </w:rPr>
      </w:pPr>
      <w:r>
        <w:rPr>
          <w:rFonts w:hint="eastAsia" w:ascii="Times New Roman" w:hAnsi="Times New Roman" w:eastAsia="宋体" w:cs="Times New Roman"/>
          <w:kern w:val="2"/>
          <w:sz w:val="28"/>
          <w:szCs w:val="28"/>
          <w:lang w:val="zh-CN" w:eastAsia="zh-CN" w:bidi="ar-SA"/>
        </w:rPr>
        <w:t>小结：安全管理单元共检查了</w:t>
      </w:r>
      <w:r>
        <w:rPr>
          <w:rFonts w:hint="eastAsia" w:ascii="Times New Roman" w:hAnsi="Times New Roman" w:eastAsia="宋体" w:cs="Times New Roman"/>
          <w:kern w:val="2"/>
          <w:sz w:val="28"/>
          <w:szCs w:val="28"/>
          <w:lang w:val="en-US" w:eastAsia="zh-CN" w:bidi="ar-SA"/>
        </w:rPr>
        <w:t>2</w:t>
      </w:r>
      <w:r>
        <w:rPr>
          <w:rFonts w:hint="eastAsia" w:cs="Times New Roman"/>
          <w:kern w:val="2"/>
          <w:sz w:val="28"/>
          <w:szCs w:val="28"/>
          <w:lang w:val="en-US" w:eastAsia="zh-CN" w:bidi="ar-SA"/>
        </w:rPr>
        <w:t>0</w:t>
      </w:r>
      <w:r>
        <w:rPr>
          <w:rFonts w:hint="eastAsia" w:ascii="Times New Roman" w:hAnsi="Times New Roman" w:eastAsia="宋体" w:cs="Times New Roman"/>
          <w:kern w:val="2"/>
          <w:sz w:val="28"/>
          <w:szCs w:val="28"/>
          <w:lang w:val="en-US" w:eastAsia="zh-CN" w:bidi="ar-SA"/>
        </w:rPr>
        <w:t>项</w:t>
      </w:r>
      <w:r>
        <w:rPr>
          <w:rFonts w:hint="eastAsia" w:ascii="Times New Roman" w:hAnsi="Times New Roman" w:eastAsia="宋体" w:cs="Times New Roman"/>
          <w:kern w:val="2"/>
          <w:sz w:val="28"/>
          <w:szCs w:val="28"/>
          <w:lang w:val="zh-CN" w:eastAsia="zh-CN" w:bidi="ar-SA"/>
        </w:rPr>
        <w:t>，</w:t>
      </w:r>
      <w:r>
        <w:rPr>
          <w:rFonts w:hint="eastAsia" w:ascii="Times New Roman" w:hAnsi="Times New Roman" w:eastAsia="宋体" w:cs="Times New Roman"/>
          <w:kern w:val="2"/>
          <w:sz w:val="28"/>
          <w:szCs w:val="28"/>
          <w:lang w:val="en-US" w:eastAsia="zh-CN" w:bidi="ar-SA"/>
        </w:rPr>
        <w:t>均</w:t>
      </w:r>
      <w:r>
        <w:rPr>
          <w:rFonts w:hint="eastAsia" w:ascii="Times New Roman" w:hAnsi="Times New Roman" w:eastAsia="宋体" w:cs="Times New Roman"/>
          <w:kern w:val="2"/>
          <w:sz w:val="28"/>
          <w:szCs w:val="28"/>
          <w:lang w:val="zh-CN" w:eastAsia="zh-CN" w:bidi="ar-SA"/>
        </w:rPr>
        <w:t>符合要求。</w:t>
      </w:r>
      <w:bookmarkStart w:id="367" w:name="_Toc23527_WPSOffice_Level1"/>
    </w:p>
    <w:p>
      <w:pPr>
        <w:keepNext w:val="0"/>
        <w:keepLines w:val="0"/>
        <w:pageBreakBefore w:val="0"/>
        <w:widowControl w:val="0"/>
        <w:numPr>
          <w:ilvl w:val="0"/>
          <w:numId w:val="20"/>
        </w:numPr>
        <w:kinsoku/>
        <w:wordWrap/>
        <w:overflowPunct/>
        <w:topLinePunct w:val="0"/>
        <w:autoSpaceDE/>
        <w:autoSpaceDN/>
        <w:bidi w:val="0"/>
        <w:adjustRightInd/>
        <w:snapToGrid w:val="0"/>
        <w:spacing w:before="157" w:beforeLines="50" w:line="360" w:lineRule="auto"/>
        <w:ind w:left="0" w:leftChars="0" w:firstLine="560" w:firstLineChars="200"/>
        <w:jc w:val="left"/>
        <w:textAlignment w:val="auto"/>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安全检查结论汇总表</w:t>
      </w:r>
      <w:bookmarkEnd w:id="367"/>
    </w:p>
    <w:p>
      <w:pPr>
        <w:pStyle w:val="21"/>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center"/>
        <w:textAlignment w:val="auto"/>
        <w:rPr>
          <w:rFonts w:hint="default"/>
          <w:lang w:val="en-US" w:eastAsia="zh-CN"/>
        </w:rPr>
      </w:pPr>
      <w:r>
        <w:rPr>
          <w:rFonts w:hint="eastAsia" w:ascii="Times New Roman" w:hAnsi="Times New Roman" w:eastAsia="黑体" w:cs="Times New Roman"/>
          <w:b w:val="0"/>
          <w:bCs w:val="0"/>
          <w:color w:val="000000"/>
          <w:kern w:val="28"/>
          <w:sz w:val="21"/>
          <w:szCs w:val="21"/>
          <w:lang w:val="en-US" w:eastAsia="zh-CN" w:bidi="ar-SA"/>
        </w:rPr>
        <w:t>附表3-6 安全检查表结论汇总表</w:t>
      </w:r>
    </w:p>
    <w:tbl>
      <w:tblPr>
        <w:tblStyle w:val="37"/>
        <w:tblW w:w="9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2259"/>
        <w:gridCol w:w="2259"/>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检查项</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符合项</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不符合项</w:t>
            </w:r>
          </w:p>
        </w:tc>
        <w:tc>
          <w:tcPr>
            <w:tcW w:w="2260" w:type="dxa"/>
            <w:noWrap w:val="0"/>
            <w:vAlign w:val="center"/>
          </w:tcPr>
          <w:p>
            <w:pPr>
              <w:snapToGrid w:val="0"/>
              <w:spacing w:line="240" w:lineRule="auto"/>
              <w:ind w:left="-46" w:leftChars="-22" w:right="-63" w:rightChars="-30"/>
              <w:jc w:val="center"/>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无关项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037" w:type="dxa"/>
            <w:gridSpan w:val="4"/>
            <w:noWrap w:val="0"/>
            <w:vAlign w:val="center"/>
          </w:tcPr>
          <w:p>
            <w:pPr>
              <w:snapToGrid w:val="0"/>
              <w:spacing w:line="240" w:lineRule="auto"/>
              <w:ind w:left="-46" w:leftChars="-22" w:right="-63" w:rightChars="-3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周边环境及</w:t>
            </w:r>
            <w:r>
              <w:rPr>
                <w:rFonts w:hint="default" w:ascii="Times New Roman" w:hAnsi="Times New Roman" w:eastAsia="宋体" w:cs="Times New Roman"/>
                <w:bCs/>
                <w:color w:val="auto"/>
                <w:sz w:val="21"/>
                <w:szCs w:val="21"/>
              </w:rPr>
              <w:t>总平面布置单元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13</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13</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val="en-US" w:eastAsia="zh-CN"/>
              </w:rPr>
              <w:t>0</w:t>
            </w:r>
          </w:p>
        </w:tc>
        <w:tc>
          <w:tcPr>
            <w:tcW w:w="2260"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037" w:type="dxa"/>
            <w:gridSpan w:val="4"/>
            <w:noWrap w:val="0"/>
            <w:vAlign w:val="center"/>
          </w:tcPr>
          <w:p>
            <w:pPr>
              <w:snapToGrid w:val="0"/>
              <w:spacing w:line="240" w:lineRule="auto"/>
              <w:ind w:left="-46" w:leftChars="-22" w:right="-63" w:rightChars="-30"/>
              <w:jc w:val="center"/>
              <w:rPr>
                <w:rFonts w:hint="eastAsia" w:cs="Times New Roman"/>
                <w:bCs/>
                <w:color w:val="auto"/>
                <w:sz w:val="21"/>
                <w:szCs w:val="21"/>
                <w:lang w:eastAsia="zh-CN"/>
              </w:rPr>
            </w:pPr>
            <w:r>
              <w:rPr>
                <w:rFonts w:hint="eastAsia" w:cs="Times New Roman"/>
                <w:bCs/>
                <w:color w:val="auto"/>
                <w:sz w:val="21"/>
                <w:szCs w:val="21"/>
                <w:lang w:eastAsia="zh-CN"/>
              </w:rPr>
              <w:t>生产单元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34</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30</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w:t>
            </w:r>
          </w:p>
        </w:tc>
        <w:tc>
          <w:tcPr>
            <w:tcW w:w="2260" w:type="dxa"/>
            <w:noWrap w:val="0"/>
            <w:vAlign w:val="center"/>
          </w:tcPr>
          <w:p>
            <w:pPr>
              <w:snapToGrid w:val="0"/>
              <w:spacing w:line="240" w:lineRule="auto"/>
              <w:ind w:left="-46" w:leftChars="-22" w:right="-63" w:rightChars="-30"/>
              <w:jc w:val="center"/>
              <w:rPr>
                <w:rFonts w:hint="default" w:cs="Times New Roman"/>
                <w:bCs/>
                <w:color w:val="auto"/>
                <w:sz w:val="21"/>
                <w:szCs w:val="21"/>
                <w:lang w:val="en-US" w:eastAsia="zh-CN"/>
              </w:rPr>
            </w:pPr>
            <w:r>
              <w:rPr>
                <w:rFonts w:hint="eastAsia" w:cs="Times New Roman"/>
                <w:bCs/>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037" w:type="dxa"/>
            <w:gridSpan w:val="4"/>
            <w:noWrap w:val="0"/>
            <w:vAlign w:val="center"/>
          </w:tcPr>
          <w:p>
            <w:pPr>
              <w:snapToGrid w:val="0"/>
              <w:spacing w:line="240" w:lineRule="auto"/>
              <w:ind w:left="-46" w:leftChars="-22" w:right="-63" w:rightChars="-30"/>
              <w:jc w:val="center"/>
              <w:rPr>
                <w:rFonts w:hint="eastAsia" w:cs="Times New Roman"/>
                <w:bCs/>
                <w:color w:val="auto"/>
                <w:sz w:val="21"/>
                <w:szCs w:val="21"/>
                <w:lang w:val="en-US" w:eastAsia="zh-CN"/>
              </w:rPr>
            </w:pPr>
            <w:r>
              <w:rPr>
                <w:rFonts w:hint="eastAsia" w:cs="Times New Roman"/>
                <w:bCs/>
                <w:color w:val="auto"/>
                <w:sz w:val="21"/>
                <w:szCs w:val="21"/>
                <w:lang w:val="en-US" w:eastAsia="zh-CN"/>
              </w:rPr>
              <w:t>储存单元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9</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9</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c>
          <w:tcPr>
            <w:tcW w:w="2260"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037" w:type="dxa"/>
            <w:gridSpan w:val="4"/>
            <w:noWrap w:val="0"/>
            <w:vAlign w:val="center"/>
          </w:tcPr>
          <w:p>
            <w:pPr>
              <w:snapToGrid w:val="0"/>
              <w:spacing w:line="240" w:lineRule="auto"/>
              <w:ind w:left="-46" w:leftChars="-22" w:right="-63" w:rightChars="-3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eastAsia="zh-CN"/>
              </w:rPr>
              <w:t>公辅设施</w:t>
            </w:r>
            <w:r>
              <w:rPr>
                <w:rFonts w:hint="default" w:ascii="Times New Roman" w:hAnsi="Times New Roman" w:eastAsia="宋体" w:cs="Times New Roman"/>
                <w:bCs/>
                <w:color w:val="auto"/>
                <w:sz w:val="21"/>
                <w:szCs w:val="21"/>
              </w:rPr>
              <w:t>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32</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31</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1</w:t>
            </w:r>
          </w:p>
        </w:tc>
        <w:tc>
          <w:tcPr>
            <w:tcW w:w="2260"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037" w:type="dxa"/>
            <w:gridSpan w:val="4"/>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安全管理单元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20</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20</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val="en-US" w:eastAsia="zh-CN"/>
              </w:rPr>
              <w:t>0</w:t>
            </w:r>
          </w:p>
        </w:tc>
        <w:tc>
          <w:tcPr>
            <w:tcW w:w="2260"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037" w:type="dxa"/>
            <w:gridSpan w:val="4"/>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107</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102</w:t>
            </w:r>
          </w:p>
        </w:tc>
        <w:tc>
          <w:tcPr>
            <w:tcW w:w="2259"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w:t>
            </w:r>
          </w:p>
        </w:tc>
        <w:tc>
          <w:tcPr>
            <w:tcW w:w="2260" w:type="dxa"/>
            <w:noWrap w:val="0"/>
            <w:vAlign w:val="center"/>
          </w:tcPr>
          <w:p>
            <w:pPr>
              <w:snapToGrid w:val="0"/>
              <w:spacing w:line="240" w:lineRule="auto"/>
              <w:ind w:left="-46" w:leftChars="-22" w:right="-63" w:rightChars="-3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bl>
    <w:p>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560" w:firstLineChars="200"/>
        <w:jc w:val="left"/>
        <w:textAlignment w:val="auto"/>
        <w:rPr>
          <w:rFonts w:hint="eastAsia" w:ascii="Times New Roman" w:hAnsi="Times New Roman" w:eastAsia="宋体" w:cs="Times New Roman"/>
          <w:color w:val="000000" w:themeColor="text1"/>
          <w:kern w:val="2"/>
          <w:sz w:val="28"/>
          <w:szCs w:val="28"/>
          <w:lang w:val="zh-CN" w:eastAsia="zh-CN" w:bidi="ar-SA"/>
          <w14:textFill>
            <w14:solidFill>
              <w14:schemeClr w14:val="tx1"/>
            </w14:solidFill>
          </w14:textFill>
        </w:rPr>
      </w:pPr>
      <w:r>
        <w:rPr>
          <w:rFonts w:hint="eastAsia" w:ascii="Times New Roman" w:hAnsi="Times New Roman" w:eastAsia="宋体" w:cs="Times New Roman"/>
          <w:color w:val="000000" w:themeColor="text1"/>
          <w:kern w:val="2"/>
          <w:sz w:val="28"/>
          <w:szCs w:val="28"/>
          <w:lang w:val="zh-CN" w:eastAsia="zh-CN" w:bidi="ar-SA"/>
          <w14:textFill>
            <w14:solidFill>
              <w14:schemeClr w14:val="tx1"/>
            </w14:solidFill>
          </w14:textFill>
        </w:rPr>
        <w:t>结论：本次对</w:t>
      </w:r>
      <w:r>
        <w:rPr>
          <w:rFonts w:hint="eastAsia" w:cs="Times New Roman"/>
          <w:color w:val="000000" w:themeColor="text1"/>
          <w:kern w:val="2"/>
          <w:sz w:val="28"/>
          <w:szCs w:val="28"/>
          <w:lang w:val="zh-CN" w:eastAsia="zh-CN" w:bidi="ar-SA"/>
          <w14:textFill>
            <w14:solidFill>
              <w14:schemeClr w14:val="tx1"/>
            </w14:solidFill>
          </w14:textFill>
        </w:rPr>
        <w:t>该企业</w:t>
      </w:r>
      <w:r>
        <w:rPr>
          <w:rFonts w:hint="eastAsia" w:ascii="Times New Roman" w:hAnsi="Times New Roman" w:eastAsia="宋体" w:cs="Times New Roman"/>
          <w:color w:val="000000" w:themeColor="text1"/>
          <w:kern w:val="2"/>
          <w:sz w:val="28"/>
          <w:szCs w:val="28"/>
          <w:lang w:val="zh-CN" w:eastAsia="zh-CN" w:bidi="ar-SA"/>
          <w14:textFill>
            <w14:solidFill>
              <w14:schemeClr w14:val="tx1"/>
            </w14:solidFill>
          </w14:textFill>
        </w:rPr>
        <w:t>共检查了</w:t>
      </w:r>
      <w:r>
        <w:rPr>
          <w:rFonts w:hint="eastAsia" w:ascii="Times New Roman" w:hAnsi="Times New Roman" w:eastAsia="宋体" w:cs="Times New Roman"/>
          <w:color w:val="000000" w:themeColor="text1"/>
          <w:kern w:val="2"/>
          <w:sz w:val="28"/>
          <w:szCs w:val="28"/>
          <w:lang w:val="en-US" w:eastAsia="zh-CN" w:bidi="ar-SA"/>
          <w14:textFill>
            <w14:solidFill>
              <w14:schemeClr w14:val="tx1"/>
            </w14:solidFill>
          </w14:textFill>
        </w:rPr>
        <w:t>1</w:t>
      </w:r>
      <w:r>
        <w:rPr>
          <w:rFonts w:hint="eastAsia" w:cs="Times New Roman"/>
          <w:color w:val="000000" w:themeColor="text1"/>
          <w:kern w:val="2"/>
          <w:sz w:val="28"/>
          <w:szCs w:val="28"/>
          <w:lang w:val="en-US" w:eastAsia="zh-CN" w:bidi="ar-SA"/>
          <w14:textFill>
            <w14:solidFill>
              <w14:schemeClr w14:val="tx1"/>
            </w14:solidFill>
          </w14:textFill>
        </w:rPr>
        <w:t>08</w:t>
      </w:r>
      <w:r>
        <w:rPr>
          <w:rFonts w:hint="eastAsia" w:ascii="Times New Roman" w:hAnsi="Times New Roman" w:eastAsia="宋体" w:cs="Times New Roman"/>
          <w:color w:val="000000" w:themeColor="text1"/>
          <w:kern w:val="2"/>
          <w:sz w:val="28"/>
          <w:szCs w:val="28"/>
          <w:lang w:val="zh-CN" w:eastAsia="zh-CN" w:bidi="ar-SA"/>
          <w14:textFill>
            <w14:solidFill>
              <w14:schemeClr w14:val="tx1"/>
            </w14:solidFill>
          </w14:textFill>
        </w:rPr>
        <w:t>项，其中</w:t>
      </w:r>
      <w:r>
        <w:rPr>
          <w:rFonts w:hint="eastAsia" w:cs="Times New Roman"/>
          <w:color w:val="000000" w:themeColor="text1"/>
          <w:kern w:val="2"/>
          <w:sz w:val="28"/>
          <w:szCs w:val="28"/>
          <w:lang w:val="en-US" w:eastAsia="zh-CN" w:bidi="ar-SA"/>
          <w14:textFill>
            <w14:solidFill>
              <w14:schemeClr w14:val="tx1"/>
            </w14:solidFill>
          </w14:textFill>
        </w:rPr>
        <w:t>102</w:t>
      </w:r>
      <w:r>
        <w:rPr>
          <w:rFonts w:hint="eastAsia" w:ascii="Times New Roman" w:hAnsi="Times New Roman" w:eastAsia="宋体" w:cs="Times New Roman"/>
          <w:color w:val="000000" w:themeColor="text1"/>
          <w:kern w:val="2"/>
          <w:sz w:val="28"/>
          <w:szCs w:val="28"/>
          <w:lang w:val="zh-CN" w:eastAsia="zh-CN" w:bidi="ar-SA"/>
          <w14:textFill>
            <w14:solidFill>
              <w14:schemeClr w14:val="tx1"/>
            </w14:solidFill>
          </w14:textFill>
        </w:rPr>
        <w:t>项符合，</w:t>
      </w:r>
      <w:r>
        <w:rPr>
          <w:rFonts w:hint="eastAsia" w:cs="Times New Roman"/>
          <w:color w:val="000000" w:themeColor="text1"/>
          <w:kern w:val="2"/>
          <w:sz w:val="28"/>
          <w:szCs w:val="28"/>
          <w:lang w:val="en-US" w:eastAsia="zh-CN" w:bidi="ar-SA"/>
          <w14:textFill>
            <w14:solidFill>
              <w14:schemeClr w14:val="tx1"/>
            </w14:solidFill>
          </w14:textFill>
        </w:rPr>
        <w:t>6</w:t>
      </w:r>
      <w:r>
        <w:rPr>
          <w:rFonts w:hint="eastAsia" w:ascii="Times New Roman" w:hAnsi="Times New Roman" w:eastAsia="宋体" w:cs="Times New Roman"/>
          <w:color w:val="000000" w:themeColor="text1"/>
          <w:kern w:val="2"/>
          <w:sz w:val="28"/>
          <w:szCs w:val="28"/>
          <w:lang w:val="zh-CN" w:eastAsia="zh-CN" w:bidi="ar-SA"/>
          <w14:textFill>
            <w14:solidFill>
              <w14:schemeClr w14:val="tx1"/>
            </w14:solidFill>
          </w14:textFill>
        </w:rPr>
        <w:t>项不符合。</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r>
        <w:rPr>
          <w:rFonts w:hint="eastAsia" w:ascii="Times New Roman" w:hAnsi="Times New Roman" w:eastAsia="宋体" w:cs="Times New Roman"/>
          <w:color w:val="000000"/>
          <w:kern w:val="2"/>
          <w:sz w:val="28"/>
          <w:szCs w:val="28"/>
          <w:lang w:val="en-US" w:eastAsia="zh-CN" w:bidi="ar-SA"/>
        </w:rPr>
        <w:t>附件3.2</w:t>
      </w:r>
      <w:r>
        <w:rPr>
          <w:rFonts w:hint="eastAsia" w:ascii="Times New Roman" w:hAnsi="Times New Roman" w:cs="Times New Roman"/>
          <w:color w:val="000000"/>
          <w:kern w:val="2"/>
          <w:sz w:val="28"/>
          <w:szCs w:val="28"/>
          <w:lang w:val="en-US" w:eastAsia="zh-CN" w:bidi="ar-SA"/>
        </w:rPr>
        <w:t xml:space="preserve"> </w:t>
      </w:r>
      <w:r>
        <w:rPr>
          <w:rFonts w:hint="eastAsia" w:ascii="Times New Roman" w:hAnsi="Times New Roman" w:eastAsia="宋体" w:cs="Times New Roman"/>
          <w:color w:val="000000"/>
          <w:kern w:val="2"/>
          <w:sz w:val="28"/>
          <w:szCs w:val="28"/>
          <w:lang w:val="en-US" w:eastAsia="zh-CN" w:bidi="ar-SA"/>
        </w:rPr>
        <w:t>作业条件危险性分析</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kern w:val="2"/>
          <w:sz w:val="28"/>
          <w:szCs w:val="28"/>
          <w:lang w:val="zh-CN" w:eastAsia="zh-CN" w:bidi="ar-SA"/>
        </w:rPr>
      </w:pPr>
      <w:r>
        <w:rPr>
          <w:rFonts w:hint="eastAsia" w:ascii="Times New Roman" w:hAnsi="Times New Roman" w:eastAsia="宋体" w:cs="Times New Roman"/>
          <w:kern w:val="2"/>
          <w:sz w:val="28"/>
          <w:szCs w:val="28"/>
          <w:lang w:val="zh-CN" w:eastAsia="zh-CN" w:bidi="ar-SA"/>
        </w:rPr>
        <w:t>根据格雷厄姆——金尼法采用的评价程序和原则以及各生产装置的具体情况，对各单元操作作业及安装、维修、高处等具有潜在危险性的作业进行综合评价，评价结果见下表。</w:t>
      </w:r>
    </w:p>
    <w:p>
      <w:pPr>
        <w:pStyle w:val="21"/>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pStyle w:val="21"/>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center"/>
        <w:textAlignment w:val="auto"/>
        <w:rPr>
          <w:rFonts w:hint="eastAsia" w:ascii="Times New Roman" w:hAnsi="Times New Roman" w:eastAsia="黑体" w:cs="Times New Roman"/>
          <w:b w:val="0"/>
          <w:bCs w:val="0"/>
          <w:color w:val="000000"/>
          <w:kern w:val="28"/>
          <w:sz w:val="21"/>
          <w:szCs w:val="21"/>
          <w:lang w:val="en-US" w:eastAsia="zh-CN" w:bidi="ar-SA"/>
        </w:rPr>
      </w:pPr>
    </w:p>
    <w:p>
      <w:pPr>
        <w:pStyle w:val="21"/>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附表3-7 作业条件危险性评价结果汇总</w:t>
      </w:r>
    </w:p>
    <w:tbl>
      <w:tblPr>
        <w:tblStyle w:val="37"/>
        <w:tblW w:w="476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03"/>
        <w:gridCol w:w="1032"/>
        <w:gridCol w:w="1032"/>
        <w:gridCol w:w="1032"/>
        <w:gridCol w:w="1035"/>
        <w:gridCol w:w="25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2203"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eastAsia" w:cs="Times New Roman"/>
                <w:sz w:val="21"/>
                <w:szCs w:val="21"/>
                <w:lang w:eastAsia="zh-CN"/>
              </w:rPr>
              <w:t>作业</w:t>
            </w:r>
            <w:r>
              <w:rPr>
                <w:rFonts w:hint="default" w:ascii="Times New Roman" w:hAnsi="Times New Roman" w:eastAsia="宋体" w:cs="Times New Roman"/>
                <w:sz w:val="21"/>
                <w:szCs w:val="21"/>
              </w:rPr>
              <w:t>名称</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L</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E</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w:t>
            </w:r>
          </w:p>
        </w:tc>
        <w:tc>
          <w:tcPr>
            <w:tcW w:w="1035"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D</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危险性等级</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03"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粉碎</w:t>
            </w:r>
            <w:r>
              <w:rPr>
                <w:rFonts w:hint="eastAsia" w:ascii="Times New Roman" w:hAnsi="Times New Roman" w:eastAsia="宋体" w:cs="Times New Roman"/>
                <w:sz w:val="21"/>
                <w:szCs w:val="21"/>
                <w:lang w:val="en-US" w:eastAsia="zh-CN"/>
              </w:rPr>
              <w:t>作业</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1</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6</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3</w:t>
            </w:r>
          </w:p>
        </w:tc>
        <w:tc>
          <w:tcPr>
            <w:tcW w:w="1035"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18</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稍有危险，可以接受</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03" w:type="dxa"/>
            <w:noWrap w:val="0"/>
            <w:vAlign w:val="center"/>
          </w:tcPr>
          <w:p>
            <w:pPr>
              <w:adjustRightInd w:val="0"/>
              <w:snapToGrid w:val="0"/>
              <w:spacing w:line="240" w:lineRule="auto"/>
              <w:jc w:val="center"/>
              <w:rPr>
                <w:rFonts w:hint="eastAsia" w:ascii="Times New Roman" w:hAnsi="Times New Roman" w:eastAsia="宋体" w:cs="Times New Roman"/>
                <w:sz w:val="21"/>
                <w:szCs w:val="21"/>
                <w:lang w:eastAsia="zh-CN"/>
              </w:rPr>
            </w:pPr>
            <w:r>
              <w:rPr>
                <w:rFonts w:hint="eastAsia" w:cs="Times New Roman"/>
                <w:sz w:val="21"/>
                <w:szCs w:val="21"/>
                <w:lang w:eastAsia="zh-CN"/>
              </w:rPr>
              <w:t>配酸作业</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1</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6</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7</w:t>
            </w:r>
          </w:p>
        </w:tc>
        <w:tc>
          <w:tcPr>
            <w:tcW w:w="1035"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21</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比较危险，需要注意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03" w:type="dxa"/>
            <w:noWrap w:val="0"/>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水解</w:t>
            </w:r>
            <w:r>
              <w:rPr>
                <w:rFonts w:hint="default" w:ascii="Times New Roman" w:hAnsi="Times New Roman" w:eastAsia="宋体" w:cs="Times New Roman"/>
                <w:sz w:val="21"/>
                <w:szCs w:val="21"/>
              </w:rPr>
              <w:t>精制</w:t>
            </w:r>
            <w:r>
              <w:rPr>
                <w:rFonts w:hint="eastAsia" w:ascii="Times New Roman" w:hAnsi="Times New Roman" w:eastAsia="宋体" w:cs="Times New Roman"/>
                <w:sz w:val="21"/>
                <w:szCs w:val="21"/>
                <w:lang w:val="en-US" w:eastAsia="zh-CN"/>
              </w:rPr>
              <w:t>作业</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1</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6</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7</w:t>
            </w:r>
          </w:p>
        </w:tc>
        <w:tc>
          <w:tcPr>
            <w:tcW w:w="1035"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21</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比较危险，需要注意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03" w:type="dxa"/>
            <w:noWrap w:val="0"/>
            <w:vAlign w:val="center"/>
          </w:tcPr>
          <w:p>
            <w:pPr>
              <w:adjustRightInd w:val="0"/>
              <w:snapToGrid w:val="0"/>
              <w:spacing w:line="240" w:lineRule="auto"/>
              <w:jc w:val="center"/>
              <w:rPr>
                <w:rFonts w:hint="eastAsia" w:ascii="Times New Roman" w:hAnsi="Times New Roman" w:eastAsia="宋体" w:cs="Times New Roman"/>
                <w:sz w:val="21"/>
                <w:szCs w:val="21"/>
                <w:lang w:eastAsia="zh-CN"/>
              </w:rPr>
            </w:pPr>
            <w:r>
              <w:rPr>
                <w:rFonts w:hint="eastAsia" w:cs="Times New Roman"/>
                <w:sz w:val="21"/>
                <w:szCs w:val="21"/>
                <w:lang w:eastAsia="zh-CN"/>
              </w:rPr>
              <w:t>排渣作业</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3</w:t>
            </w:r>
          </w:p>
        </w:tc>
        <w:tc>
          <w:tcPr>
            <w:tcW w:w="1035" w:type="dxa"/>
            <w:noWrap w:val="0"/>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18</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稍有危险，可以接受</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03" w:type="dxa"/>
            <w:noWrap w:val="0"/>
            <w:vAlign w:val="center"/>
          </w:tcPr>
          <w:p>
            <w:pPr>
              <w:adjustRightInd w:val="0"/>
              <w:snapToGrid w:val="0"/>
              <w:spacing w:line="240" w:lineRule="auto"/>
              <w:jc w:val="center"/>
              <w:rPr>
                <w:rFonts w:hint="eastAsia" w:cs="Times New Roman"/>
                <w:sz w:val="21"/>
                <w:szCs w:val="21"/>
                <w:lang w:eastAsia="zh-CN"/>
              </w:rPr>
            </w:pPr>
            <w:r>
              <w:rPr>
                <w:rFonts w:hint="eastAsia" w:cs="Times New Roman"/>
                <w:sz w:val="21"/>
                <w:szCs w:val="21"/>
                <w:lang w:eastAsia="zh-CN"/>
              </w:rPr>
              <w:t>司炉作业</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6</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7</w:t>
            </w:r>
          </w:p>
        </w:tc>
        <w:tc>
          <w:tcPr>
            <w:tcW w:w="1035"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21</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比较危险，需要注意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203"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装卸运输作业</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1</w:t>
            </w:r>
          </w:p>
        </w:tc>
        <w:tc>
          <w:tcPr>
            <w:tcW w:w="1032"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3</w:t>
            </w:r>
          </w:p>
        </w:tc>
        <w:tc>
          <w:tcPr>
            <w:tcW w:w="103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7</w:t>
            </w:r>
          </w:p>
        </w:tc>
        <w:tc>
          <w:tcPr>
            <w:tcW w:w="1035" w:type="dxa"/>
            <w:noWrap w:val="0"/>
            <w:vAlign w:val="center"/>
          </w:tcPr>
          <w:p>
            <w:pPr>
              <w:adjustRightInd w:val="0"/>
              <w:snapToGrid w:val="0"/>
              <w:spacing w:line="24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21</w:t>
            </w:r>
          </w:p>
        </w:tc>
        <w:tc>
          <w:tcPr>
            <w:tcW w:w="2552" w:type="dxa"/>
            <w:noWrap w:val="0"/>
            <w:vAlign w:val="center"/>
          </w:tcPr>
          <w:p>
            <w:pPr>
              <w:adjustRightInd w:val="0"/>
              <w:snapToGrid w:val="0"/>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比较危险，需要注意</w:t>
            </w:r>
          </w:p>
        </w:tc>
      </w:tr>
    </w:tbl>
    <w:p>
      <w:pPr>
        <w:pStyle w:val="21"/>
        <w:ind w:firstLine="560" w:firstLineChars="200"/>
        <w:rPr>
          <w:rFonts w:hint="eastAsia" w:ascii="Times New Roman" w:hAnsi="Times New Roman" w:eastAsia="宋体" w:cs="Times New Roman"/>
          <w:kern w:val="2"/>
          <w:sz w:val="28"/>
          <w:szCs w:val="28"/>
          <w:lang w:val="zh-CN" w:eastAsia="zh-CN" w:bidi="ar-SA"/>
        </w:rPr>
        <w:sectPr>
          <w:pgSz w:w="11906" w:h="16838"/>
          <w:pgMar w:top="1418" w:right="1208" w:bottom="1134" w:left="1588" w:header="851" w:footer="794"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sz w:val="28"/>
          <w:szCs w:val="28"/>
        </w:rPr>
        <w:t>根据以上分析可知，</w:t>
      </w:r>
      <w:r>
        <w:rPr>
          <w:rFonts w:hint="eastAsia" w:ascii="宋体" w:hAnsi="宋体"/>
          <w:sz w:val="28"/>
          <w:szCs w:val="28"/>
          <w:lang w:val="en-US" w:eastAsia="zh-CN"/>
        </w:rPr>
        <w:t>水解精制作业</w:t>
      </w:r>
      <w:r>
        <w:rPr>
          <w:rFonts w:hint="eastAsia" w:hAnsi="宋体"/>
          <w:sz w:val="28"/>
          <w:szCs w:val="28"/>
          <w:lang w:val="en-US" w:eastAsia="zh-CN"/>
        </w:rPr>
        <w:t>、配酸作业、司炉作业和</w:t>
      </w:r>
      <w:r>
        <w:rPr>
          <w:rFonts w:hint="eastAsia" w:ascii="宋体" w:hAnsi="宋体"/>
          <w:sz w:val="28"/>
          <w:szCs w:val="28"/>
          <w:lang w:val="en-US" w:eastAsia="zh-CN"/>
        </w:rPr>
        <w:t>装卸运输作业</w:t>
      </w:r>
      <w:r>
        <w:rPr>
          <w:rFonts w:hint="eastAsia" w:ascii="宋体" w:hAnsi="宋体"/>
          <w:sz w:val="28"/>
          <w:szCs w:val="28"/>
        </w:rPr>
        <w:t>固有危险程度为</w:t>
      </w:r>
      <w:r>
        <w:rPr>
          <w:rFonts w:hint="eastAsia" w:ascii="宋体" w:hAnsi="宋体"/>
          <w:sz w:val="28"/>
          <w:szCs w:val="28"/>
          <w:lang w:val="en-US" w:eastAsia="zh-CN"/>
        </w:rPr>
        <w:t>比较危险，需要注意，</w:t>
      </w:r>
      <w:r>
        <w:rPr>
          <w:rFonts w:hint="eastAsia" w:hAnsi="宋体"/>
          <w:sz w:val="28"/>
          <w:szCs w:val="28"/>
          <w:lang w:val="en-US" w:eastAsia="zh-CN"/>
        </w:rPr>
        <w:t>应</w:t>
      </w:r>
      <w:r>
        <w:rPr>
          <w:rFonts w:hint="eastAsia" w:ascii="宋体" w:hAnsi="宋体"/>
          <w:sz w:val="28"/>
          <w:szCs w:val="28"/>
          <w:lang w:val="en-US" w:eastAsia="zh-CN"/>
        </w:rPr>
        <w:t>严格执行安全操作规程；粉碎作业</w:t>
      </w:r>
      <w:r>
        <w:rPr>
          <w:rFonts w:hint="eastAsia" w:hAnsi="宋体"/>
          <w:sz w:val="28"/>
          <w:szCs w:val="28"/>
          <w:lang w:val="en-US" w:eastAsia="zh-CN"/>
        </w:rPr>
        <w:t>、排渣作业</w:t>
      </w:r>
      <w:r>
        <w:rPr>
          <w:rFonts w:hint="eastAsia" w:ascii="宋体" w:hAnsi="宋体"/>
          <w:sz w:val="28"/>
          <w:szCs w:val="28"/>
        </w:rPr>
        <w:t>固有危险程度为稍有危险，可以接受。</w:t>
      </w:r>
    </w:p>
    <w:bookmarkEnd w:id="195"/>
    <w:bookmarkEnd w:id="196"/>
    <w:p>
      <w:pPr>
        <w:pStyle w:val="4"/>
        <w:keepNext/>
        <w:keepLines/>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360" w:lineRule="auto"/>
        <w:ind w:left="575" w:leftChars="0" w:hanging="575"/>
        <w:jc w:val="center"/>
        <w:textAlignment w:val="auto"/>
        <w:rPr>
          <w:rFonts w:hint="eastAsia" w:ascii="楷体" w:hAnsi="楷体" w:eastAsia="楷体" w:cs="楷体"/>
          <w:b w:val="0"/>
          <w:bCs/>
          <w:kern w:val="2"/>
          <w:sz w:val="32"/>
          <w:szCs w:val="32"/>
          <w:lang w:val="en-US" w:eastAsia="zh-CN"/>
        </w:rPr>
      </w:pPr>
      <w:bookmarkStart w:id="368" w:name="_Toc27437_WPSOffice_Level2"/>
      <w:bookmarkStart w:id="369" w:name="_Toc23512_WPSOffice_Level1"/>
      <w:bookmarkStart w:id="370" w:name="_Toc20324"/>
      <w:bookmarkStart w:id="371" w:name="_Toc532977019"/>
      <w:r>
        <w:rPr>
          <w:rFonts w:hint="eastAsia" w:ascii="楷体" w:hAnsi="楷体" w:eastAsia="楷体" w:cs="楷体"/>
          <w:b w:val="0"/>
          <w:bCs/>
          <w:kern w:val="2"/>
          <w:sz w:val="32"/>
          <w:szCs w:val="32"/>
          <w:lang w:val="en-US" w:eastAsia="zh-CN"/>
        </w:rPr>
        <w:t>附件4 外部安全防护距离判定</w:t>
      </w:r>
      <w:bookmarkEnd w:id="368"/>
      <w:bookmarkEnd w:id="369"/>
      <w:bookmarkEnd w:id="370"/>
      <w:bookmarkEnd w:id="371"/>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372" w:name="_Toc8960"/>
      <w:bookmarkStart w:id="373" w:name="_Toc26126_WPSOffice_Level2"/>
      <w:bookmarkStart w:id="374" w:name="_Toc4811_WPSOffice_Level1"/>
      <w:r>
        <w:rPr>
          <w:rFonts w:hint="eastAsia" w:ascii="Times New Roman" w:hAnsi="Times New Roman" w:eastAsia="宋体" w:cs="Times New Roman"/>
          <w:color w:val="000000"/>
          <w:kern w:val="2"/>
          <w:sz w:val="28"/>
          <w:szCs w:val="28"/>
          <w:lang w:val="en-US" w:eastAsia="zh-CN" w:bidi="ar-SA"/>
        </w:rPr>
        <w:t>附件4.1 外部安全防护距离确定方法</w:t>
      </w:r>
      <w:bookmarkEnd w:id="372"/>
      <w:bookmarkEnd w:id="373"/>
      <w:bookmarkEnd w:id="374"/>
    </w:p>
    <w:p>
      <w:pPr>
        <w:spacing w:line="360" w:lineRule="auto"/>
        <w:ind w:firstLine="420" w:firstLineChars="200"/>
        <w:rPr>
          <w:rFonts w:hint="eastAsia" w:ascii="宋体" w:hAnsi="宋体" w:eastAsia="宋体" w:cs="宋体"/>
          <w:color w:val="auto"/>
          <w:sz w:val="28"/>
          <w:szCs w:val="28"/>
        </w:rPr>
      </w:pPr>
      <w:r>
        <w:rPr>
          <w:sz w:val="21"/>
        </w:rPr>
        <mc:AlternateContent>
          <mc:Choice Requires="wpg">
            <w:drawing>
              <wp:anchor distT="0" distB="0" distL="114300" distR="114300" simplePos="0" relativeHeight="251663360" behindDoc="0" locked="0" layoutInCell="1" allowOverlap="1">
                <wp:simplePos x="0" y="0"/>
                <wp:positionH relativeFrom="column">
                  <wp:posOffset>28575</wp:posOffset>
                </wp:positionH>
                <wp:positionV relativeFrom="paragraph">
                  <wp:posOffset>114300</wp:posOffset>
                </wp:positionV>
                <wp:extent cx="5664200" cy="4345305"/>
                <wp:effectExtent l="4445" t="4445" r="8255" b="12700"/>
                <wp:wrapNone/>
                <wp:docPr id="2" name="组合 2"/>
                <wp:cNvGraphicFramePr/>
                <a:graphic xmlns:a="http://schemas.openxmlformats.org/drawingml/2006/main">
                  <a:graphicData uri="http://schemas.microsoft.com/office/word/2010/wordprocessingGroup">
                    <wpg:wgp>
                      <wpg:cNvGrpSpPr/>
                      <wpg:grpSpPr>
                        <a:xfrm>
                          <a:off x="0" y="0"/>
                          <a:ext cx="5664200" cy="4345305"/>
                          <a:chOff x="5368" y="1818498"/>
                          <a:chExt cx="8920" cy="6843"/>
                        </a:xfrm>
                      </wpg:grpSpPr>
                      <wps:wsp>
                        <wps:cNvPr id="92" name="矩形 215"/>
                        <wps:cNvSpPr/>
                        <wps:spPr>
                          <a:xfrm>
                            <a:off x="13238" y="1823651"/>
                            <a:ext cx="1050" cy="1690"/>
                          </a:xfrm>
                          <a:prstGeom prst="rect">
                            <a:avLst/>
                          </a:prstGeom>
                          <a:noFill/>
                          <a:ln w="9525" cap="flat" cmpd="sng">
                            <a:solidFill>
                              <a:srgbClr val="000000"/>
                            </a:solidFill>
                            <a:prstDash val="solid"/>
                            <a:miter/>
                            <a:headEnd type="none" w="med" len="med"/>
                            <a:tailEnd type="none" w="med" len="med"/>
                          </a:ln>
                          <a:effectLst/>
                        </wps:spPr>
                        <wps:txbx>
                          <w:txbxContent>
                            <w:p>
                              <w:pPr>
                                <w:jc w:val="center"/>
                              </w:pPr>
                              <w:r>
                                <w:rPr>
                                  <w:rFonts w:hint="eastAsia" w:ascii="宋体" w:hAnsi="宋体"/>
                                  <w:szCs w:val="21"/>
                                </w:rPr>
                                <w:t>执行相关标准规范有关距离要求</w:t>
                              </w:r>
                            </w:p>
                          </w:txbxContent>
                        </wps:txbx>
                        <wps:bodyPr vert="horz" wrap="square" anchor="t" anchorCtr="0" upright="1"/>
                      </wps:wsp>
                      <wps:wsp>
                        <wps:cNvPr id="93" name="矩形 207"/>
                        <wps:cNvSpPr/>
                        <wps:spPr>
                          <a:xfrm>
                            <a:off x="8715" y="1819759"/>
                            <a:ext cx="1529" cy="3236"/>
                          </a:xfrm>
                          <a:prstGeom prst="rect">
                            <a:avLst/>
                          </a:prstGeom>
                          <a:noFill/>
                          <a:ln w="9525" cap="flat" cmpd="sng">
                            <a:solidFill>
                              <a:srgbClr val="000000"/>
                            </a:solidFill>
                            <a:prstDash val="solid"/>
                            <a:miter/>
                            <a:headEnd type="none" w="med" len="med"/>
                            <a:tailEnd type="none" w="med" len="med"/>
                          </a:ln>
                          <a:effectLst/>
                        </wps:spPr>
                        <wps:txbx>
                          <w:txbxContent>
                            <w:p>
                              <w:r>
                                <w:rPr>
                                  <w:rFonts w:hint="eastAsia"/>
                                </w:rPr>
                                <w:t>涉及毒性气体或易燃气体，且设计最大量与其在</w:t>
                              </w:r>
                            </w:p>
                            <w:p>
                              <w:r>
                                <w:rPr>
                                  <w:rFonts w:hint="eastAsia"/>
                                </w:rPr>
                                <w:t>GB 18218中规定的临界量比值之和大于1或等于1。</w:t>
                              </w:r>
                            </w:p>
                          </w:txbxContent>
                        </wps:txbx>
                        <wps:bodyPr vert="horz" wrap="square" anchor="t" anchorCtr="0" upright="1"/>
                      </wps:wsp>
                      <wps:wsp>
                        <wps:cNvPr id="94" name="自选图形 206"/>
                        <wps:cNvCnPr/>
                        <wps:spPr>
                          <a:xfrm>
                            <a:off x="9435" y="1818963"/>
                            <a:ext cx="0" cy="375"/>
                          </a:xfrm>
                          <a:prstGeom prst="straightConnector1">
                            <a:avLst/>
                          </a:prstGeom>
                          <a:ln w="9525" cap="flat" cmpd="sng">
                            <a:solidFill>
                              <a:srgbClr val="000000"/>
                            </a:solidFill>
                            <a:prstDash val="solid"/>
                            <a:headEnd type="none" w="med" len="med"/>
                            <a:tailEnd type="none" w="med" len="med"/>
                          </a:ln>
                          <a:effectLst/>
                        </wps:spPr>
                        <wps:bodyPr/>
                      </wps:wsp>
                      <wps:wsp>
                        <wps:cNvPr id="95" name="自选图形 205"/>
                        <wps:cNvCnPr/>
                        <wps:spPr>
                          <a:xfrm>
                            <a:off x="5775" y="1819338"/>
                            <a:ext cx="0" cy="420"/>
                          </a:xfrm>
                          <a:prstGeom prst="straightConnector1">
                            <a:avLst/>
                          </a:prstGeom>
                          <a:ln w="9525" cap="flat" cmpd="sng">
                            <a:solidFill>
                              <a:srgbClr val="000000"/>
                            </a:solidFill>
                            <a:prstDash val="solid"/>
                            <a:headEnd type="none" w="med" len="med"/>
                            <a:tailEnd type="triangle" w="med" len="med"/>
                          </a:ln>
                          <a:effectLst/>
                        </wps:spPr>
                        <wps:bodyPr/>
                      </wps:wsp>
                      <wps:wsp>
                        <wps:cNvPr id="96" name="自选图形 204"/>
                        <wps:cNvCnPr/>
                        <wps:spPr>
                          <a:xfrm>
                            <a:off x="5775" y="1819338"/>
                            <a:ext cx="7965" cy="1"/>
                          </a:xfrm>
                          <a:prstGeom prst="straightConnector1">
                            <a:avLst/>
                          </a:prstGeom>
                          <a:ln w="9525" cap="flat" cmpd="sng">
                            <a:solidFill>
                              <a:srgbClr val="000000"/>
                            </a:solidFill>
                            <a:prstDash val="solid"/>
                            <a:headEnd type="none" w="med" len="med"/>
                            <a:tailEnd type="none" w="med" len="med"/>
                          </a:ln>
                          <a:effectLst/>
                        </wps:spPr>
                        <wps:bodyPr/>
                      </wps:wsp>
                      <wps:wsp>
                        <wps:cNvPr id="178" name="自选图形 203"/>
                        <wps:cNvCnPr/>
                        <wps:spPr>
                          <a:xfrm>
                            <a:off x="13740" y="1819339"/>
                            <a:ext cx="0" cy="420"/>
                          </a:xfrm>
                          <a:prstGeom prst="straightConnector1">
                            <a:avLst/>
                          </a:prstGeom>
                          <a:ln w="9525" cap="flat" cmpd="sng">
                            <a:solidFill>
                              <a:srgbClr val="000000"/>
                            </a:solidFill>
                            <a:prstDash val="solid"/>
                            <a:headEnd type="none" w="med" len="med"/>
                            <a:tailEnd type="triangle" w="med" len="med"/>
                          </a:ln>
                          <a:effectLst/>
                        </wps:spPr>
                        <wps:bodyPr/>
                      </wps:wsp>
                      <wps:wsp>
                        <wps:cNvPr id="179" name="矩形 201"/>
                        <wps:cNvSpPr/>
                        <wps:spPr>
                          <a:xfrm>
                            <a:off x="13332" y="1819759"/>
                            <a:ext cx="723" cy="2595"/>
                          </a:xfrm>
                          <a:prstGeom prst="rect">
                            <a:avLst/>
                          </a:prstGeom>
                          <a:noFill/>
                          <a:ln w="9525" cap="flat" cmpd="sng">
                            <a:solidFill>
                              <a:srgbClr val="000000"/>
                            </a:solidFill>
                            <a:prstDash val="solid"/>
                            <a:miter/>
                            <a:headEnd type="none" w="med" len="med"/>
                            <a:tailEnd type="none" w="med" len="med"/>
                          </a:ln>
                          <a:effectLst/>
                        </wps:spPr>
                        <wps:txbx>
                          <w:txbxContent>
                            <w:p>
                              <w:pPr>
                                <w:jc w:val="center"/>
                              </w:pPr>
                            </w:p>
                            <w:p>
                              <w:pPr>
                                <w:pStyle w:val="71"/>
                              </w:pPr>
                            </w:p>
                            <w:p>
                              <w:pPr>
                                <w:jc w:val="center"/>
                              </w:pPr>
                              <w:r>
                                <w:rPr>
                                  <w:rFonts w:hint="eastAsia"/>
                                </w:rPr>
                                <w:t>其</w:t>
                              </w:r>
                            </w:p>
                            <w:p>
                              <w:pPr>
                                <w:jc w:val="center"/>
                              </w:pPr>
                            </w:p>
                            <w:p>
                              <w:pPr>
                                <w:jc w:val="center"/>
                              </w:pPr>
                              <w:r>
                                <w:rPr>
                                  <w:rFonts w:hint="eastAsia"/>
                                </w:rPr>
                                <w:t>他</w:t>
                              </w:r>
                            </w:p>
                          </w:txbxContent>
                        </wps:txbx>
                        <wps:bodyPr wrap="square" upright="1"/>
                      </wps:wsp>
                      <wps:wsp>
                        <wps:cNvPr id="97" name="自选图形 199"/>
                        <wps:cNvCnPr/>
                        <wps:spPr>
                          <a:xfrm>
                            <a:off x="9450" y="1819354"/>
                            <a:ext cx="0" cy="420"/>
                          </a:xfrm>
                          <a:prstGeom prst="straightConnector1">
                            <a:avLst/>
                          </a:prstGeom>
                          <a:ln w="9525" cap="flat" cmpd="sng">
                            <a:solidFill>
                              <a:srgbClr val="000000"/>
                            </a:solidFill>
                            <a:prstDash val="solid"/>
                            <a:headEnd type="none" w="med" len="med"/>
                            <a:tailEnd type="triangle" w="med" len="med"/>
                          </a:ln>
                          <a:effectLst/>
                        </wps:spPr>
                        <wps:bodyPr/>
                      </wps:wsp>
                      <wps:wsp>
                        <wps:cNvPr id="98" name="矩形 197"/>
                        <wps:cNvSpPr/>
                        <wps:spPr>
                          <a:xfrm>
                            <a:off x="8337" y="1818498"/>
                            <a:ext cx="2414" cy="465"/>
                          </a:xfrm>
                          <a:prstGeom prst="rect">
                            <a:avLst/>
                          </a:prstGeom>
                          <a:noFill/>
                          <a:ln w="9525" cap="flat" cmpd="sng">
                            <a:solidFill>
                              <a:srgbClr val="000000"/>
                            </a:solidFill>
                            <a:prstDash val="solid"/>
                            <a:miter/>
                            <a:headEnd type="none" w="med" len="med"/>
                            <a:tailEnd type="none" w="med" len="med"/>
                          </a:ln>
                          <a:effectLst/>
                        </wps:spPr>
                        <wps:txbx>
                          <w:txbxContent>
                            <w:p>
                              <w:pPr>
                                <w:jc w:val="center"/>
                              </w:pPr>
                              <w:r>
                                <w:rPr>
                                  <w:rFonts w:hint="eastAsia"/>
                                </w:rPr>
                                <w:t>危险化学品生产企业</w:t>
                              </w:r>
                            </w:p>
                          </w:txbxContent>
                        </wps:txbx>
                        <wps:bodyPr wrap="square" upright="1"/>
                      </wps:wsp>
                      <wps:wsp>
                        <wps:cNvPr id="183" name="矩形 217"/>
                        <wps:cNvSpPr/>
                        <wps:spPr>
                          <a:xfrm>
                            <a:off x="5368" y="1823898"/>
                            <a:ext cx="868" cy="1319"/>
                          </a:xfrm>
                          <a:prstGeom prst="rect">
                            <a:avLst/>
                          </a:prstGeom>
                          <a:noFill/>
                          <a:ln w="9525" cap="flat" cmpd="sng">
                            <a:solidFill>
                              <a:srgbClr val="000000"/>
                            </a:solidFill>
                            <a:prstDash val="solid"/>
                            <a:miter/>
                            <a:headEnd type="none" w="med" len="med"/>
                            <a:tailEnd type="none" w="med" len="med"/>
                          </a:ln>
                          <a:effectLst/>
                        </wps:spPr>
                        <wps:txbx>
                          <w:txbxContent>
                            <w:p>
                              <w:pPr>
                                <w:jc w:val="center"/>
                                <w:rPr>
                                  <w:rFonts w:hint="eastAsia"/>
                                </w:rPr>
                              </w:pPr>
                              <w:r>
                                <w:rPr>
                                  <w:rFonts w:hint="eastAsia"/>
                                </w:rPr>
                                <w:t>事故</w:t>
                              </w:r>
                            </w:p>
                            <w:p>
                              <w:pPr>
                                <w:jc w:val="center"/>
                              </w:pPr>
                              <w:r>
                                <w:rPr>
                                  <w:rFonts w:hint="eastAsia"/>
                                </w:rPr>
                                <w:t>后果法</w:t>
                              </w:r>
                            </w:p>
                          </w:txbxContent>
                        </wps:txbx>
                        <wps:bodyPr wrap="square" upright="1"/>
                      </wps:wsp>
                      <wps:wsp>
                        <wps:cNvPr id="99" name="矩形 209"/>
                        <wps:cNvSpPr/>
                        <wps:spPr>
                          <a:xfrm>
                            <a:off x="5412" y="1819758"/>
                            <a:ext cx="708" cy="3268"/>
                          </a:xfrm>
                          <a:prstGeom prst="rect">
                            <a:avLst/>
                          </a:prstGeom>
                          <a:noFill/>
                          <a:ln w="9525" cap="flat" cmpd="sng">
                            <a:solidFill>
                              <a:srgbClr val="000000"/>
                            </a:solidFill>
                            <a:prstDash val="solid"/>
                            <a:miter/>
                            <a:headEnd type="none" w="med" len="med"/>
                            <a:tailEnd type="none" w="med" len="med"/>
                          </a:ln>
                          <a:effectLst/>
                        </wps:spPr>
                        <wps:txbx>
                          <w:txbxContent>
                            <w:p>
                              <w:pPr>
                                <w:jc w:val="center"/>
                              </w:pPr>
                              <w:r>
                                <w:rPr>
                                  <w:rFonts w:hint="eastAsia"/>
                                </w:rPr>
                                <w:t>装置或设施涉及爆炸物</w:t>
                              </w:r>
                            </w:p>
                          </w:txbxContent>
                        </wps:txbx>
                        <wps:bodyPr vert="horz" wrap="square" anchor="t" anchorCtr="0" upright="1"/>
                      </wps:wsp>
                      <wps:wsp>
                        <wps:cNvPr id="100" name="自选图形 211"/>
                        <wps:cNvCnPr>
                          <a:stCxn id="99" idx="2"/>
                        </wps:cNvCnPr>
                        <wps:spPr>
                          <a:xfrm flipH="1">
                            <a:off x="5762" y="1823026"/>
                            <a:ext cx="4" cy="869"/>
                          </a:xfrm>
                          <a:prstGeom prst="straightConnector1">
                            <a:avLst/>
                          </a:prstGeom>
                          <a:ln w="9525" cap="flat" cmpd="sng">
                            <a:solidFill>
                              <a:srgbClr val="000000"/>
                            </a:solidFill>
                            <a:prstDash val="solid"/>
                            <a:headEnd type="none" w="med" len="med"/>
                            <a:tailEnd type="triangle" w="med" len="med"/>
                          </a:ln>
                        </wps:spPr>
                        <wps:bodyPr/>
                      </wps:wsp>
                      <wps:wsp>
                        <wps:cNvPr id="101" name="自选图形 210"/>
                        <wps:cNvCnPr/>
                        <wps:spPr>
                          <a:xfrm flipH="1">
                            <a:off x="13725" y="1822354"/>
                            <a:ext cx="15" cy="1279"/>
                          </a:xfrm>
                          <a:prstGeom prst="straightConnector1">
                            <a:avLst/>
                          </a:prstGeom>
                          <a:ln w="9525" cap="flat" cmpd="sng">
                            <a:solidFill>
                              <a:srgbClr val="000000"/>
                            </a:solidFill>
                            <a:prstDash val="solid"/>
                            <a:headEnd type="none" w="med" len="med"/>
                            <a:tailEnd type="triangle" w="med" len="med"/>
                          </a:ln>
                        </wps:spPr>
                        <wps:bodyPr/>
                      </wps:wsp>
                      <wps:wsp>
                        <wps:cNvPr id="102" name="自选图形 214"/>
                        <wps:cNvCnPr/>
                        <wps:spPr>
                          <a:xfrm>
                            <a:off x="9547" y="1823010"/>
                            <a:ext cx="0" cy="754"/>
                          </a:xfrm>
                          <a:prstGeom prst="straightConnector1">
                            <a:avLst/>
                          </a:prstGeom>
                          <a:ln w="9525" cap="flat" cmpd="sng">
                            <a:solidFill>
                              <a:srgbClr val="000000"/>
                            </a:solidFill>
                            <a:prstDash val="solid"/>
                            <a:headEnd type="none" w="med" len="med"/>
                            <a:tailEnd type="triangle" w="med" len="med"/>
                          </a:ln>
                        </wps:spPr>
                        <wps:bodyPr/>
                      </wps:wsp>
                      <wps:wsp>
                        <wps:cNvPr id="103" name="矩形 216"/>
                        <wps:cNvSpPr/>
                        <wps:spPr>
                          <a:xfrm>
                            <a:off x="9114" y="1823777"/>
                            <a:ext cx="949" cy="1467"/>
                          </a:xfrm>
                          <a:prstGeom prst="rect">
                            <a:avLst/>
                          </a:prstGeom>
                          <a:noFill/>
                          <a:ln w="9525" cap="flat" cmpd="sng">
                            <a:solidFill>
                              <a:srgbClr val="000000"/>
                            </a:solidFill>
                            <a:prstDash val="solid"/>
                            <a:miter/>
                            <a:headEnd type="none" w="med" len="med"/>
                            <a:tailEnd type="none" w="med" len="med"/>
                          </a:ln>
                          <a:effectLst/>
                        </wps:spPr>
                        <wps:txbx>
                          <w:txbxContent>
                            <w:p>
                              <w:pPr>
                                <w:jc w:val="center"/>
                                <w:rPr>
                                  <w:rFonts w:hint="eastAsia"/>
                                </w:rPr>
                              </w:pPr>
                              <w:r>
                                <w:rPr>
                                  <w:rFonts w:hint="eastAsia"/>
                                </w:rPr>
                                <w:t>定量</w:t>
                              </w:r>
                            </w:p>
                            <w:p>
                              <w:pPr>
                                <w:jc w:val="center"/>
                                <w:rPr>
                                  <w:rFonts w:hint="eastAsia"/>
                                </w:rPr>
                              </w:pPr>
                              <w:r>
                                <w:rPr>
                                  <w:rFonts w:hint="eastAsia"/>
                                </w:rPr>
                                <w:t>风险</w:t>
                              </w:r>
                            </w:p>
                            <w:p>
                              <w:pPr>
                                <w:jc w:val="center"/>
                              </w:pPr>
                              <w:r>
                                <w:rPr>
                                  <w:rFonts w:hint="eastAsia"/>
                                </w:rPr>
                                <w:t>评价法</w:t>
                              </w:r>
                            </w:p>
                          </w:txbxContent>
                        </wps:txbx>
                        <wps:bodyPr wrap="square" upright="1"/>
                      </wps:wsp>
                    </wpg:wgp>
                  </a:graphicData>
                </a:graphic>
              </wp:anchor>
            </w:drawing>
          </mc:Choice>
          <mc:Fallback>
            <w:pict>
              <v:group id="_x0000_s1026" o:spid="_x0000_s1026" o:spt="203" style="position:absolute;left:0pt;margin-left:2.25pt;margin-top:9pt;height:342.15pt;width:446pt;z-index:251663360;mso-width-relative:page;mso-height-relative:page;" coordorigin="5368,1818498" coordsize="8920,6843" o:gfxdata="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">
                <o:lock v:ext="edit" aspectratio="f"/>
                <v:rect id="矩形 215" o:spid="_x0000_s1026" o:spt="1" style="position:absolute;left:13238;top:1823651;height:1690;width:1050;" filled="f" stroked="t" coordsize="21600,21600" o:gfxdata="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oxLp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jc w:val="center"/>
                        </w:pPr>
                        <w:r>
                          <w:rPr>
                            <w:rFonts w:hint="eastAsia" w:ascii="宋体" w:hAnsi="宋体"/>
                            <w:szCs w:val="21"/>
                          </w:rPr>
                          <w:t>执行相关标准规范有关距离要求</w:t>
                        </w:r>
                      </w:p>
                    </w:txbxContent>
                  </v:textbox>
                </v:rect>
                <v:rect id="矩形 207" o:spid="_x0000_s1026" o:spt="1" style="position:absolute;left:8715;top:1819759;height:3236;width:1529;" filled="f" stroked="t" coordsize="21600,21600" o:gfxdata="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77dy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r>
                          <w:rPr>
                            <w:rFonts w:hint="eastAsia"/>
                          </w:rPr>
                          <w:t>涉及毒性气体或易燃气体，且设计最大量与其在</w:t>
                        </w:r>
                      </w:p>
                      <w:p>
                        <w:r>
                          <w:rPr>
                            <w:rFonts w:hint="eastAsia"/>
                          </w:rPr>
                          <w:t>GB 18218中规定的临界量比值之和大于1或等于1。</w:t>
                        </w:r>
                      </w:p>
                    </w:txbxContent>
                  </v:textbox>
                </v:rect>
                <v:shape id="自选图形 206" o:spid="_x0000_s1026" o:spt="32" type="#_x0000_t32" style="position:absolute;left:9435;top:1818963;height:375;width:0;" filled="f" stroked="t" coordsize="21600,21600" o:gfxdata="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g0z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自选图形 205" o:spid="_x0000_s1026" o:spt="32" type="#_x0000_t32" style="position:absolute;left:5775;top:1819338;height:420;width:0;" filled="f" stroked="t" coordsize="21600,21600" o:gfxdata="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ihJO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204" o:spid="_x0000_s1026" o:spt="32" type="#_x0000_t32" style="position:absolute;left:5775;top:1819338;height:1;width:7965;" filled="f" stroked="t" coordsize="21600,21600" o:gfxdata="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6NW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自选图形 203" o:spid="_x0000_s1026" o:spt="32" type="#_x0000_t32" style="position:absolute;left:13740;top:1819339;height:420;width:0;" filled="f" stroked="t" coordsize="21600,21600" o:gfxdata="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DLZ0&#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rect id="矩形 201" o:spid="_x0000_s1026" o:spt="1" style="position:absolute;left:13332;top:1819759;height:2595;width:723;" filled="f" stroked="t" coordsize="21600,21600" o:gfxdata="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TAfK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jc w:val="center"/>
                        </w:pPr>
                      </w:p>
                      <w:p>
                        <w:pPr>
                          <w:pStyle w:val="71"/>
                        </w:pPr>
                      </w:p>
                      <w:p>
                        <w:pPr>
                          <w:jc w:val="center"/>
                        </w:pPr>
                        <w:r>
                          <w:rPr>
                            <w:rFonts w:hint="eastAsia"/>
                          </w:rPr>
                          <w:t>其</w:t>
                        </w:r>
                      </w:p>
                      <w:p>
                        <w:pPr>
                          <w:jc w:val="center"/>
                        </w:pPr>
                      </w:p>
                      <w:p>
                        <w:pPr>
                          <w:jc w:val="center"/>
                        </w:pPr>
                        <w:r>
                          <w:rPr>
                            <w:rFonts w:hint="eastAsia"/>
                          </w:rPr>
                          <w:t>他</w:t>
                        </w:r>
                      </w:p>
                    </w:txbxContent>
                  </v:textbox>
                </v:rect>
                <v:shape id="自选图形 199" o:spid="_x0000_s1026" o:spt="32" type="#_x0000_t32" style="position:absolute;left:9450;top:1819354;height:420;width:0;" filled="f" stroked="t" coordsize="21600,21600" o:gfxdata="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tnLU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矩形 197" o:spid="_x0000_s1026" o:spt="1" style="position:absolute;left:8337;top:1818498;height:465;width:2414;" filled="f" stroked="t" coordsize="21600,21600" o:gfxdata="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xLJQO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pPr>
                          <w:jc w:val="center"/>
                        </w:pPr>
                        <w:r>
                          <w:rPr>
                            <w:rFonts w:hint="eastAsia"/>
                          </w:rPr>
                          <w:t>危险化学品生产企业</w:t>
                        </w:r>
                      </w:p>
                    </w:txbxContent>
                  </v:textbox>
                </v:rect>
                <v:rect id="矩形 217" o:spid="_x0000_s1026" o:spt="1" style="position:absolute;left:5368;top:1823898;height:1319;width:868;" filled="f" stroked="t" coordsize="21600,21600" o:gfxdata="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uRj+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pPr>
                          <w:jc w:val="center"/>
                          <w:rPr>
                            <w:rFonts w:hint="eastAsia"/>
                          </w:rPr>
                        </w:pPr>
                        <w:r>
                          <w:rPr>
                            <w:rFonts w:hint="eastAsia"/>
                          </w:rPr>
                          <w:t>事故</w:t>
                        </w:r>
                      </w:p>
                      <w:p>
                        <w:pPr>
                          <w:jc w:val="center"/>
                        </w:pPr>
                        <w:r>
                          <w:rPr>
                            <w:rFonts w:hint="eastAsia"/>
                          </w:rPr>
                          <w:t>后果法</w:t>
                        </w:r>
                      </w:p>
                    </w:txbxContent>
                  </v:textbox>
                </v:rect>
                <v:rect id="矩形 209" o:spid="_x0000_s1026" o:spt="1" style="position:absolute;left:5412;top:1819758;height:3268;width:708;" filled="f" stroked="t" coordsize="21600,21600" o:gfxdata="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B4CY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pPr>
                          <w:jc w:val="center"/>
                        </w:pPr>
                        <w:r>
                          <w:rPr>
                            <w:rFonts w:hint="eastAsia"/>
                          </w:rPr>
                          <w:t>装置或设施涉及爆炸物</w:t>
                        </w:r>
                      </w:p>
                    </w:txbxContent>
                  </v:textbox>
                </v:rect>
                <v:shape id="自选图形 211" o:spid="_x0000_s1026" o:spt="32" type="#_x0000_t32" style="position:absolute;left:5762;top:1823026;flip:x;height:869;width:4;" filled="f" stroked="t" coordsize="21600,21600" o:gfxdata="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Z+Bf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210" o:spid="_x0000_s1026" o:spt="32" type="#_x0000_t32" style="position:absolute;left:13725;top:1822354;flip:x;height:1279;width:15;" filled="f" stroked="t" coordsize="21600,21600" o:gfxdata="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MqBj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自选图形 214" o:spid="_x0000_s1026" o:spt="32" type="#_x0000_t32" style="position:absolute;left:9547;top:1823010;height:754;width:0;" filled="f" stroked="t" coordsize="21600,21600" o:gfxdata="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i8uO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矩形 216" o:spid="_x0000_s1026" o:spt="1" style="position:absolute;left:9114;top:1823777;height:1467;width:949;" filled="f" stroked="t" coordsize="21600,21600" o:gfxdata="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fUVlugAAANw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pPr>
                          <w:jc w:val="center"/>
                          <w:rPr>
                            <w:rFonts w:hint="eastAsia"/>
                          </w:rPr>
                        </w:pPr>
                        <w:r>
                          <w:rPr>
                            <w:rFonts w:hint="eastAsia"/>
                          </w:rPr>
                          <w:t>定量</w:t>
                        </w:r>
                      </w:p>
                      <w:p>
                        <w:pPr>
                          <w:jc w:val="center"/>
                          <w:rPr>
                            <w:rFonts w:hint="eastAsia"/>
                          </w:rPr>
                        </w:pPr>
                        <w:r>
                          <w:rPr>
                            <w:rFonts w:hint="eastAsia"/>
                          </w:rPr>
                          <w:t>风险</w:t>
                        </w:r>
                      </w:p>
                      <w:p>
                        <w:pPr>
                          <w:jc w:val="center"/>
                        </w:pPr>
                        <w:r>
                          <w:rPr>
                            <w:rFonts w:hint="eastAsia"/>
                          </w:rPr>
                          <w:t>评价法</w:t>
                        </w:r>
                      </w:p>
                    </w:txbxContent>
                  </v:textbox>
                </v:rect>
              </v:group>
            </w:pict>
          </mc:Fallback>
        </mc:AlternateContent>
      </w:r>
    </w:p>
    <w:p>
      <w:pPr>
        <w:spacing w:line="360" w:lineRule="auto"/>
        <w:ind w:firstLine="420" w:firstLineChars="200"/>
        <w:rPr>
          <w:rFonts w:hint="eastAsia" w:ascii="宋体" w:hAnsi="宋体" w:eastAsia="宋体" w:cs="宋体"/>
          <w:color w:val="auto"/>
          <w:sz w:val="28"/>
          <w:szCs w:val="28"/>
        </w:rPr>
      </w:pPr>
      <w:r>
        <w:rPr>
          <w:rFonts w:hint="eastAsia" w:ascii="宋体" w:hAnsi="宋体" w:eastAsia="宋体" w:cs="宋体"/>
          <w:color w:val="auto"/>
        </w:rPr>
        <mc:AlternateContent>
          <mc:Choice Requires="wps">
            <w:drawing>
              <wp:anchor distT="0" distB="0" distL="114300" distR="114300" simplePos="0" relativeHeight="251662336" behindDoc="0" locked="0" layoutInCell="1" allowOverlap="1">
                <wp:simplePos x="0" y="0"/>
                <wp:positionH relativeFrom="column">
                  <wp:posOffset>-3533775</wp:posOffset>
                </wp:positionH>
                <wp:positionV relativeFrom="paragraph">
                  <wp:posOffset>3013075</wp:posOffset>
                </wp:positionV>
                <wp:extent cx="0" cy="266700"/>
                <wp:effectExtent l="38100" t="0" r="38100" b="7620"/>
                <wp:wrapNone/>
                <wp:docPr id="182" name="自选图形 198"/>
                <wp:cNvGraphicFramePr/>
                <a:graphic xmlns:a="http://schemas.openxmlformats.org/drawingml/2006/main">
                  <a:graphicData uri="http://schemas.microsoft.com/office/word/2010/wordprocessingShape">
                    <wps:wsp>
                      <wps:cNvCnPr/>
                      <wps:spPr>
                        <a:xfrm>
                          <a:off x="0" y="0"/>
                          <a:ext cx="0" cy="26670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自选图形 198" o:spid="_x0000_s1026" o:spt="32" type="#_x0000_t32" style="position:absolute;left:0pt;margin-left:-278.25pt;margin-top:237.25pt;height:21pt;width:0pt;z-index:251662336;mso-width-relative:page;mso-height-relative:page;" filled="f" stroked="t" coordsize="21600,21600" o:gfxdata="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AaFvO2gAAAA0BAAAPAAAAAAAAAAEAIAAAACIAAABk&#10;cnMvZG93bnJldi54bWxQSwECFAAUAAAACACHTuJAFDCLeQQCAAD4AwAADgAAAAAAAAABACAAAAAp&#10;AQAAZHJzL2Uyb0RvYy54bWxQSwUGAAAAAAYABgBZAQAAnwUAAAAA&#10;">
                <v:fill on="f" focussize="0,0"/>
                <v:stroke color="#000000" joinstyle="round" endarrow="block"/>
                <v:imagedata o:title=""/>
                <o:lock v:ext="edit" aspectratio="f"/>
              </v:shape>
            </w:pict>
          </mc:Fallback>
        </mc:AlternateContent>
      </w:r>
      <w:r>
        <w:rPr>
          <w:rFonts w:hint="eastAsia" w:ascii="宋体" w:hAnsi="宋体" w:eastAsia="宋体" w:cs="宋体"/>
          <w:color w:val="auto"/>
        </w:rPr>
        <mc:AlternateContent>
          <mc:Choice Requires="wps">
            <w:drawing>
              <wp:anchor distT="0" distB="0" distL="114300" distR="114300" simplePos="0" relativeHeight="251661312" behindDoc="0" locked="0" layoutInCell="1" allowOverlap="1">
                <wp:simplePos x="0" y="0"/>
                <wp:positionH relativeFrom="column">
                  <wp:posOffset>10287000</wp:posOffset>
                </wp:positionH>
                <wp:positionV relativeFrom="paragraph">
                  <wp:posOffset>300355</wp:posOffset>
                </wp:positionV>
                <wp:extent cx="0" cy="266700"/>
                <wp:effectExtent l="38100" t="0" r="38100" b="7620"/>
                <wp:wrapNone/>
                <wp:docPr id="180" name="自选图形 202"/>
                <wp:cNvGraphicFramePr/>
                <a:graphic xmlns:a="http://schemas.openxmlformats.org/drawingml/2006/main">
                  <a:graphicData uri="http://schemas.microsoft.com/office/word/2010/wordprocessingShape">
                    <wps:wsp>
                      <wps:cNvCnPr/>
                      <wps:spPr>
                        <a:xfrm>
                          <a:off x="0" y="0"/>
                          <a:ext cx="0" cy="26670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自选图形 202" o:spid="_x0000_s1026" o:spt="32" type="#_x0000_t32" style="position:absolute;left:0pt;margin-left:810pt;margin-top:23.65pt;height:21pt;width:0pt;z-index:251661312;mso-width-relative:page;mso-height-relative:page;" filled="f" stroked="t" coordsize="21600,21600" o:gfxdata="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eLNmU2AAAAAsBAAAPAAAAAAAAAAEAIAAAACIAAABkcnMv&#10;ZG93bnJldi54bWxQSwECFAAUAAAACACHTuJAT0FRRgMCAAD4AwAADgAAAAAAAAABACAAAAAnAQAA&#10;ZHJzL2Uyb0RvYy54bWxQSwUGAAAAAAYABgBZAQAAnAUAAAAA&#10;">
                <v:fill on="f" focussize="0,0"/>
                <v:stroke color="#000000" joinstyle="round" endarrow="block"/>
                <v:imagedata o:title=""/>
                <o:lock v:ext="edit" aspectratio="f"/>
              </v:shape>
            </w:pict>
          </mc:Fallback>
        </mc:AlternateContent>
      </w: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560" w:firstLineChars="200"/>
        <w:rPr>
          <w:rFonts w:hint="eastAsia" w:ascii="宋体" w:hAnsi="宋体" w:eastAsia="宋体" w:cs="宋体"/>
          <w:color w:val="auto"/>
          <w:sz w:val="28"/>
          <w:szCs w:val="28"/>
        </w:rPr>
      </w:pPr>
    </w:p>
    <w:p>
      <w:pPr>
        <w:spacing w:line="360" w:lineRule="auto"/>
        <w:ind w:firstLine="420" w:firstLineChars="200"/>
        <w:rPr>
          <w:rFonts w:hint="eastAsia" w:ascii="宋体" w:hAnsi="宋体" w:eastAsia="宋体" w:cs="宋体"/>
          <w:color w:val="auto"/>
          <w:szCs w:val="21"/>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r>
        <w:rPr>
          <w:rFonts w:hint="eastAsia" w:ascii="Times New Roman" w:hAnsi="Times New Roman" w:eastAsia="黑体" w:cs="Times New Roman"/>
          <w:b w:val="0"/>
          <w:bCs w:val="0"/>
          <w:color w:val="000000"/>
          <w:kern w:val="28"/>
          <w:sz w:val="21"/>
          <w:szCs w:val="21"/>
          <w:lang w:val="en-US" w:eastAsia="zh-CN" w:bidi="ar-SA"/>
        </w:rPr>
        <w:t>附图 4</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1 外部安全防护距离确定方法</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outlineLvl w:val="2"/>
        <w:rPr>
          <w:rFonts w:hint="eastAsia" w:ascii="Times New Roman" w:hAnsi="Times New Roman" w:eastAsia="宋体" w:cs="Times New Roman"/>
          <w:color w:val="000000"/>
          <w:kern w:val="2"/>
          <w:sz w:val="28"/>
          <w:szCs w:val="28"/>
          <w:lang w:val="en-US" w:eastAsia="zh-CN" w:bidi="ar-SA"/>
        </w:rPr>
      </w:pPr>
      <w:bookmarkStart w:id="375" w:name="_Toc5582_WPSOffice_Level2"/>
      <w:bookmarkStart w:id="376" w:name="_Toc717_WPSOffice_Level1"/>
      <w:bookmarkStart w:id="377" w:name="_Toc22391"/>
      <w:bookmarkStart w:id="378" w:name="_Toc3408_WPSOffice_Level1"/>
      <w:r>
        <w:rPr>
          <w:rFonts w:hint="eastAsia" w:ascii="Times New Roman" w:hAnsi="Times New Roman" w:eastAsia="宋体" w:cs="Times New Roman"/>
          <w:color w:val="000000"/>
          <w:kern w:val="2"/>
          <w:sz w:val="28"/>
          <w:szCs w:val="28"/>
          <w:lang w:val="en-US" w:eastAsia="zh-CN" w:bidi="ar-SA"/>
        </w:rPr>
        <w:t>附件4.2 外部安全防护距离评价</w:t>
      </w:r>
      <w:bookmarkEnd w:id="375"/>
      <w:bookmarkEnd w:id="376"/>
      <w:bookmarkEnd w:id="377"/>
      <w:bookmarkEnd w:id="378"/>
    </w:p>
    <w:p>
      <w:pPr>
        <w:pStyle w:val="2"/>
        <w:snapToGrid w:val="0"/>
        <w:spacing w:line="360" w:lineRule="auto"/>
        <w:ind w:firstLine="480"/>
        <w:rPr>
          <w:rFonts w:hint="eastAsia" w:ascii="宋体" w:hAnsi="宋体" w:eastAsia="宋体" w:cs="宋体"/>
          <w:color w:val="000000"/>
          <w:sz w:val="28"/>
          <w:szCs w:val="28"/>
        </w:rPr>
      </w:pPr>
      <w:r>
        <w:rPr>
          <w:rFonts w:hint="eastAsia" w:hAnsi="宋体" w:cs="Times New Roman"/>
          <w:color w:val="000000"/>
          <w:sz w:val="28"/>
          <w:szCs w:val="28"/>
          <w:lang w:eastAsia="zh-CN"/>
        </w:rPr>
        <w:t>黑山鸿泰化工有限公司</w:t>
      </w:r>
      <w:r>
        <w:rPr>
          <w:rFonts w:hint="eastAsia" w:ascii="Times New Roman" w:hAnsi="宋体" w:eastAsia="宋体" w:cs="Times New Roman"/>
          <w:color w:val="000000"/>
          <w:sz w:val="28"/>
          <w:szCs w:val="28"/>
          <w:lang w:eastAsia="zh-CN"/>
        </w:rPr>
        <w:t>未涉及爆炸物，未涉及毒性气体或易燃气体，未构成重大危险源。根据《危险化学品生产装置和储存设施外部安全防护距离确定方法》（GB/T37243-2019）第4.4条，本标准第4.2条、4.3条规定以外的危险化学品生产装置和储存设施的外部安全防护距离应满足相关标准规范的要求，因此</w:t>
      </w:r>
      <w:r>
        <w:rPr>
          <w:rFonts w:hint="eastAsia" w:hAnsi="宋体" w:cs="Times New Roman"/>
          <w:color w:val="000000"/>
          <w:sz w:val="28"/>
          <w:szCs w:val="28"/>
          <w:lang w:eastAsia="zh-CN"/>
        </w:rPr>
        <w:t>黑山鸿泰化工有限公司</w:t>
      </w:r>
      <w:r>
        <w:rPr>
          <w:rFonts w:hint="eastAsia" w:ascii="Times New Roman" w:hAnsi="宋体" w:eastAsia="宋体" w:cs="Times New Roman"/>
          <w:color w:val="000000"/>
          <w:sz w:val="28"/>
          <w:szCs w:val="28"/>
          <w:lang w:eastAsia="zh-CN"/>
        </w:rPr>
        <w:t>外部安全防护距离执行</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建筑设计防火规范</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Times New Roman" w:eastAsia="宋体" w:cs="Times New Roman"/>
          <w:snapToGrid/>
          <w:spacing w:val="0"/>
          <w:w w:val="100"/>
          <w:kern w:val="2"/>
          <w:sz w:val="28"/>
          <w:szCs w:val="28"/>
          <w:lang w:val="en-US" w:eastAsia="zh-CN"/>
        </w:rPr>
        <w:t>GB 50016-2014[2018年版]</w:t>
      </w:r>
      <w:r>
        <w:rPr>
          <w:rFonts w:hint="default" w:ascii="Times New Roman" w:hAnsi="Times New Roman" w:eastAsia="宋体" w:cs="Times New Roman"/>
          <w:snapToGrid/>
          <w:spacing w:val="0"/>
          <w:w w:val="100"/>
          <w:kern w:val="2"/>
          <w:sz w:val="28"/>
          <w:szCs w:val="28"/>
          <w:lang w:val="en-US" w:eastAsia="zh-CN"/>
        </w:rPr>
        <w:t>）</w:t>
      </w:r>
      <w:r>
        <w:rPr>
          <w:rFonts w:hint="eastAsia" w:ascii="Times New Roman" w:hAnsi="宋体" w:eastAsia="宋体" w:cs="Times New Roman"/>
          <w:color w:val="000000"/>
          <w:sz w:val="28"/>
          <w:szCs w:val="28"/>
          <w:lang w:eastAsia="zh-CN"/>
        </w:rPr>
        <w:t>的有关要求，具体详见表</w:t>
      </w:r>
      <w:r>
        <w:rPr>
          <w:rFonts w:hint="eastAsia" w:ascii="Times New Roman" w:hAnsi="宋体" w:eastAsia="宋体" w:cs="Times New Roman"/>
          <w:color w:val="000000"/>
          <w:sz w:val="28"/>
          <w:szCs w:val="28"/>
          <w:lang w:val="en-US" w:eastAsia="zh-CN"/>
        </w:rPr>
        <w:t>1.3</w:t>
      </w:r>
      <w:r>
        <w:rPr>
          <w:rFonts w:hint="eastAsia" w:ascii="Times New Roman" w:hAnsi="宋体" w:eastAsia="宋体" w:cs="Times New Roman"/>
          <w:color w:val="000000"/>
          <w:sz w:val="28"/>
          <w:szCs w:val="28"/>
          <w:lang w:eastAsia="zh-CN"/>
        </w:rPr>
        <w:t>，其</w:t>
      </w:r>
      <w:r>
        <w:rPr>
          <w:rFonts w:hint="eastAsia" w:ascii="宋体" w:hAnsi="宋体" w:eastAsia="宋体" w:cs="宋体"/>
          <w:color w:val="000000"/>
          <w:sz w:val="28"/>
          <w:szCs w:val="28"/>
        </w:rPr>
        <w:t>外部安全防护距离</w:t>
      </w:r>
      <w:r>
        <w:rPr>
          <w:rFonts w:hint="eastAsia" w:ascii="宋体" w:hAnsi="宋体" w:eastAsia="宋体" w:cs="宋体"/>
          <w:color w:val="000000"/>
          <w:sz w:val="28"/>
          <w:szCs w:val="28"/>
          <w:lang w:eastAsia="zh-CN"/>
        </w:rPr>
        <w:t>符合</w:t>
      </w:r>
      <w:r>
        <w:rPr>
          <w:rFonts w:hint="eastAsia" w:ascii="宋体" w:hAnsi="宋体" w:eastAsia="宋体" w:cs="宋体"/>
          <w:color w:val="000000"/>
          <w:sz w:val="28"/>
          <w:szCs w:val="28"/>
        </w:rPr>
        <w:t>要求。</w:t>
      </w:r>
    </w:p>
    <w:p>
      <w:pPr>
        <w:pStyle w:val="4"/>
        <w:keepNext/>
        <w:keepLines/>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360" w:lineRule="auto"/>
        <w:ind w:left="575" w:leftChars="0" w:hanging="575"/>
        <w:jc w:val="center"/>
        <w:textAlignment w:val="auto"/>
        <w:rPr>
          <w:rFonts w:hint="eastAsia" w:ascii="楷体" w:hAnsi="楷体" w:eastAsia="楷体" w:cs="楷体"/>
          <w:b w:val="0"/>
          <w:bCs/>
          <w:kern w:val="2"/>
          <w:sz w:val="32"/>
          <w:szCs w:val="32"/>
          <w:lang w:val="en-US" w:eastAsia="zh-CN"/>
        </w:rPr>
      </w:pPr>
      <w:bookmarkStart w:id="379" w:name="_Toc10000"/>
      <w:bookmarkStart w:id="380" w:name="_Toc19424_WPSOffice_Level2"/>
      <w:bookmarkStart w:id="381" w:name="_Toc9586_WPSOffice_Level1"/>
      <w:bookmarkStart w:id="382" w:name="_Toc27799_WPSOffice_Level1"/>
      <w:bookmarkStart w:id="383" w:name="_Toc532977020"/>
      <w:r>
        <w:rPr>
          <w:rFonts w:hint="eastAsia" w:ascii="楷体" w:hAnsi="楷体" w:eastAsia="楷体" w:cs="楷体"/>
          <w:b w:val="0"/>
          <w:bCs/>
          <w:kern w:val="2"/>
          <w:sz w:val="32"/>
          <w:szCs w:val="32"/>
          <w:lang w:val="en-US" w:eastAsia="zh-CN"/>
        </w:rPr>
        <w:t>附件5 重大生产安全事故隐患判定结果汇总表</w:t>
      </w:r>
      <w:bookmarkEnd w:id="379"/>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宋体" w:eastAsia="宋体" w:cs="Times New Roman"/>
          <w:sz w:val="28"/>
          <w:szCs w:val="28"/>
          <w:lang w:eastAsia="zh-CN"/>
        </w:rPr>
      </w:pPr>
      <w:r>
        <w:rPr>
          <w:rFonts w:hint="eastAsia" w:ascii="Times New Roman" w:hAnsi="宋体" w:eastAsia="宋体" w:cs="Times New Roman"/>
          <w:sz w:val="28"/>
          <w:szCs w:val="28"/>
          <w:lang w:eastAsia="zh-CN"/>
        </w:rPr>
        <w:t>依据国家安全监管总局关于印发《化工和危险化学品生产经营单位重大生产安全事故隐患判定标准（试行）》（安监总管三</w:t>
      </w:r>
      <w:r>
        <w:rPr>
          <w:rFonts w:hint="eastAsia" w:ascii="Times New Roman" w:hAnsi="宋体" w:eastAsia="宋体" w:cs="Times New Roman"/>
          <w:sz w:val="28"/>
          <w:szCs w:val="28"/>
          <w:lang w:val="en-US" w:eastAsia="zh-CN"/>
        </w:rPr>
        <w:t>[</w:t>
      </w:r>
      <w:r>
        <w:rPr>
          <w:rFonts w:hint="eastAsia" w:ascii="Times New Roman" w:hAnsi="宋体" w:eastAsia="宋体" w:cs="Times New Roman"/>
          <w:sz w:val="28"/>
          <w:szCs w:val="28"/>
          <w:lang w:eastAsia="zh-CN"/>
        </w:rPr>
        <w:t>2017</w:t>
      </w:r>
      <w:r>
        <w:rPr>
          <w:rFonts w:hint="eastAsia" w:ascii="Times New Roman" w:hAnsi="宋体" w:eastAsia="宋体" w:cs="Times New Roman"/>
          <w:sz w:val="28"/>
          <w:szCs w:val="28"/>
          <w:lang w:val="en-US" w:eastAsia="zh-CN"/>
        </w:rPr>
        <w:t>]</w:t>
      </w:r>
      <w:r>
        <w:rPr>
          <w:rFonts w:hint="eastAsia" w:ascii="Times New Roman" w:hAnsi="宋体" w:eastAsia="宋体" w:cs="Times New Roman"/>
          <w:sz w:val="28"/>
          <w:szCs w:val="28"/>
          <w:lang w:eastAsia="zh-CN"/>
        </w:rPr>
        <w:t>121号）中化工和危险化学品生产经营单位重大生产安全事故隐患判定标准（试行），对</w:t>
      </w:r>
      <w:r>
        <w:rPr>
          <w:rFonts w:hint="eastAsia" w:hAnsi="宋体" w:cs="Times New Roman"/>
          <w:sz w:val="28"/>
          <w:szCs w:val="28"/>
          <w:lang w:eastAsia="zh-CN"/>
        </w:rPr>
        <w:t>黑山鸿泰化工有限公司</w:t>
      </w:r>
      <w:r>
        <w:rPr>
          <w:rFonts w:hint="eastAsia" w:ascii="Times New Roman" w:hAnsi="宋体" w:eastAsia="宋体" w:cs="Times New Roman"/>
          <w:sz w:val="28"/>
          <w:szCs w:val="28"/>
          <w:lang w:eastAsia="zh-CN"/>
        </w:rPr>
        <w:t>进行重大生产安全事故隐患判定，结果如下：</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leftChars="0" w:firstLine="0" w:firstLineChars="0"/>
        <w:jc w:val="center"/>
        <w:textAlignment w:val="auto"/>
        <w:rPr>
          <w:rFonts w:hint="eastAsia" w:ascii="Times New Roman" w:hAnsi="Times New Roman" w:eastAsia="黑体" w:cs="Times New Roman"/>
          <w:b w:val="0"/>
          <w:bCs w:val="0"/>
          <w:color w:val="000000"/>
          <w:kern w:val="28"/>
          <w:sz w:val="21"/>
          <w:szCs w:val="21"/>
          <w:lang w:val="en-US" w:eastAsia="zh-CN" w:bidi="ar-SA"/>
        </w:rPr>
      </w:pPr>
      <w:bookmarkStart w:id="384" w:name="_Toc26748_WPSOffice_Level1"/>
      <w:bookmarkStart w:id="385" w:name="_Toc31603_WPSOffice_Level1"/>
      <w:bookmarkStart w:id="386" w:name="_Toc1110_WPSOffice_Level2"/>
      <w:r>
        <w:rPr>
          <w:rFonts w:hint="eastAsia" w:ascii="Times New Roman" w:hAnsi="Times New Roman" w:eastAsia="黑体" w:cs="Times New Roman"/>
          <w:b w:val="0"/>
          <w:bCs w:val="0"/>
          <w:color w:val="000000"/>
          <w:kern w:val="28"/>
          <w:sz w:val="21"/>
          <w:szCs w:val="21"/>
          <w:lang w:val="en-US" w:eastAsia="zh-CN" w:bidi="ar-SA"/>
        </w:rPr>
        <w:t>附表5</w:t>
      </w:r>
      <w:r>
        <w:rPr>
          <w:rFonts w:hint="eastAsia" w:eastAsia="黑体" w:cs="Times New Roman"/>
          <w:b w:val="0"/>
          <w:bCs w:val="0"/>
          <w:color w:val="000000"/>
          <w:kern w:val="28"/>
          <w:sz w:val="21"/>
          <w:szCs w:val="21"/>
          <w:lang w:val="en-US" w:eastAsia="zh-CN" w:bidi="ar-SA"/>
        </w:rPr>
        <w:t>-</w:t>
      </w:r>
      <w:r>
        <w:rPr>
          <w:rFonts w:hint="eastAsia" w:ascii="Times New Roman" w:hAnsi="Times New Roman" w:eastAsia="黑体" w:cs="Times New Roman"/>
          <w:b w:val="0"/>
          <w:bCs w:val="0"/>
          <w:color w:val="000000"/>
          <w:kern w:val="28"/>
          <w:sz w:val="21"/>
          <w:szCs w:val="21"/>
          <w:lang w:val="en-US" w:eastAsia="zh-CN" w:bidi="ar-SA"/>
        </w:rPr>
        <w:t>1 重大生产安全事故隐患判定结果汇总表</w:t>
      </w:r>
      <w:bookmarkEnd w:id="384"/>
      <w:bookmarkEnd w:id="385"/>
      <w:bookmarkEnd w:id="386"/>
    </w:p>
    <w:tbl>
      <w:tblPr>
        <w:tblStyle w:val="37"/>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4397"/>
        <w:gridCol w:w="1090"/>
        <w:gridCol w:w="3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02"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4397"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重大生产安全事故隐患判定标准</w:t>
            </w:r>
          </w:p>
        </w:tc>
        <w:tc>
          <w:tcPr>
            <w:tcW w:w="1090"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是否</w:t>
            </w:r>
            <w:r>
              <w:rPr>
                <w:rFonts w:hint="default" w:ascii="Times New Roman" w:hAnsi="Times New Roman" w:eastAsia="宋体" w:cs="Times New Roman"/>
                <w:b/>
                <w:bCs/>
                <w:color w:val="auto"/>
                <w:sz w:val="21"/>
                <w:szCs w:val="21"/>
                <w:lang w:eastAsia="zh-CN"/>
              </w:rPr>
              <w:t>构成</w:t>
            </w:r>
          </w:p>
        </w:tc>
        <w:tc>
          <w:tcPr>
            <w:tcW w:w="3307"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危险化学品生产、经营单位主要负责人和安全生产管理人员未依法经考核合格。</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主要负责人</w:t>
            </w:r>
            <w:r>
              <w:rPr>
                <w:rFonts w:hint="eastAsia" w:cs="Times New Roman"/>
                <w:color w:val="auto"/>
                <w:sz w:val="21"/>
                <w:szCs w:val="21"/>
                <w:lang w:eastAsia="zh-CN"/>
              </w:rPr>
              <w:t>蔡红</w:t>
            </w:r>
            <w:r>
              <w:rPr>
                <w:rFonts w:hint="default" w:ascii="Times New Roman" w:hAnsi="Times New Roman" w:eastAsia="宋体" w:cs="Times New Roman"/>
                <w:color w:val="auto"/>
                <w:sz w:val="21"/>
                <w:szCs w:val="21"/>
              </w:rPr>
              <w:t>、专职安全生产管理人员</w:t>
            </w:r>
            <w:r>
              <w:rPr>
                <w:rFonts w:hint="eastAsia" w:cs="Times New Roman"/>
                <w:color w:val="auto"/>
                <w:sz w:val="21"/>
                <w:szCs w:val="21"/>
                <w:lang w:eastAsia="zh-CN"/>
              </w:rPr>
              <w:t>蔡天广</w:t>
            </w:r>
            <w:r>
              <w:rPr>
                <w:rFonts w:hint="default" w:ascii="Times New Roman" w:hAnsi="Times New Roman" w:eastAsia="宋体" w:cs="Times New Roman"/>
                <w:color w:val="auto"/>
                <w:sz w:val="21"/>
                <w:szCs w:val="21"/>
              </w:rPr>
              <w:t>依法经考核取得安全培训合格证。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特种作业人员未持证上岗。</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特种作业人员</w:t>
            </w:r>
            <w:r>
              <w:rPr>
                <w:rFonts w:hint="eastAsia" w:ascii="Times New Roman" w:hAnsi="Times New Roman" w:eastAsia="宋体" w:cs="Times New Roman"/>
                <w:color w:val="auto"/>
                <w:sz w:val="21"/>
                <w:szCs w:val="21"/>
                <w:shd w:val="clear" w:color="auto" w:fill="FFFFFF"/>
                <w:lang w:eastAsia="zh-CN"/>
              </w:rPr>
              <w:t>均</w:t>
            </w:r>
            <w:r>
              <w:rPr>
                <w:rFonts w:hint="default" w:ascii="Times New Roman" w:hAnsi="Times New Roman" w:eastAsia="宋体" w:cs="Times New Roman"/>
                <w:color w:val="auto"/>
                <w:sz w:val="21"/>
                <w:szCs w:val="21"/>
                <w:shd w:val="clear" w:color="auto" w:fill="FFFFFF"/>
              </w:rPr>
              <w:t>持证上岗。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涉及“两重点一重大”的生产装置、储存设施外部安全防护距离不符合国家标准要求。</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外部安全防护距离符合国家标准要求。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涉及重点监管危险化工工艺的装置未实现自动化控制，系统未实现紧急停车功能，装备的自动化控制系统、紧急停车系统未投入使用。</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未涉及重点监管危险化工工艺。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构成一级、二级重大危险源的危险化学品罐区未实现紧急切断功能；涉及毒性气体、液化气体、剧毒液体的一级、二级重大危险源的危险化学品罐区未配备独立的安全仪表系统。</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未构成</w:t>
            </w:r>
            <w:r>
              <w:rPr>
                <w:rFonts w:hint="default" w:ascii="Times New Roman" w:hAnsi="Times New Roman" w:eastAsia="宋体" w:cs="Times New Roman"/>
                <w:color w:val="auto"/>
                <w:sz w:val="21"/>
                <w:szCs w:val="21"/>
                <w:shd w:val="clear" w:color="auto" w:fill="FFFFFF"/>
              </w:rPr>
              <w:t>重大危险源。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全压力式液化烃储罐未按国家标准设置注水措施。</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lang w:eastAsia="zh-CN"/>
              </w:rPr>
              <w:t>企业</w:t>
            </w:r>
            <w:r>
              <w:rPr>
                <w:rFonts w:hint="default" w:ascii="Times New Roman" w:hAnsi="Times New Roman" w:eastAsia="宋体" w:cs="Times New Roman"/>
                <w:color w:val="auto"/>
                <w:sz w:val="21"/>
                <w:szCs w:val="21"/>
                <w:shd w:val="clear" w:color="auto" w:fill="FFFFFF"/>
              </w:rPr>
              <w:t>未涉及全压力式液化烃储罐。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液化烃、液氨、液氯等易燃易爆、有毒有害液化气体的充装未使用万向管道充装系统。</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企业未涉及液化烃、液氨、液氯等。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光气、氯气等剧毒气体及硫化氢气体管道穿越除厂区(包括化工园区、工业园区）外的公共区域。</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无光气、氯气等剧毒气体及硫化氢气体。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地区架空电力线路穿越生产区且不符合国家标准要求。</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无架空电力线穿越生产区。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在役化工装置未经正规设计且未进行安全设计诊断。</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该企业</w:t>
            </w:r>
            <w:r>
              <w:rPr>
                <w:rFonts w:hint="default" w:ascii="Times New Roman" w:hAnsi="Times New Roman" w:eastAsia="宋体" w:cs="Times New Roman"/>
                <w:color w:val="auto"/>
                <w:sz w:val="21"/>
                <w:szCs w:val="21"/>
                <w:lang w:val="en-US" w:eastAsia="zh-CN"/>
              </w:rPr>
              <w:t>委托</w:t>
            </w:r>
            <w:r>
              <w:rPr>
                <w:rFonts w:hint="eastAsia" w:cs="Times New Roman"/>
                <w:color w:val="auto"/>
                <w:sz w:val="21"/>
                <w:szCs w:val="21"/>
                <w:lang w:val="en-US" w:eastAsia="zh-CN"/>
              </w:rPr>
              <w:t>山东富海石化工程有限公司</w:t>
            </w:r>
            <w:r>
              <w:rPr>
                <w:rFonts w:hint="eastAsia" w:ascii="Times New Roman" w:hAnsi="Times New Roman" w:eastAsia="宋体" w:cs="Times New Roman"/>
                <w:color w:val="auto"/>
                <w:sz w:val="21"/>
                <w:szCs w:val="21"/>
                <w:lang w:val="en-US" w:eastAsia="zh-CN"/>
              </w:rPr>
              <w:t>对其进行安全设计诊断，</w:t>
            </w:r>
            <w:r>
              <w:rPr>
                <w:rFonts w:hint="default" w:ascii="Times New Roman" w:hAnsi="Times New Roman" w:eastAsia="宋体" w:cs="Times New Roman"/>
                <w:color w:val="auto"/>
                <w:sz w:val="21"/>
                <w:szCs w:val="21"/>
                <w:lang w:val="en-US" w:eastAsia="zh-CN"/>
              </w:rPr>
              <w:t>于2022年</w:t>
            </w:r>
            <w:r>
              <w:rPr>
                <w:rFonts w:hint="eastAsia" w:cs="Times New Roman"/>
                <w:color w:val="auto"/>
                <w:sz w:val="21"/>
                <w:szCs w:val="21"/>
                <w:lang w:val="en-US" w:eastAsia="zh-CN"/>
              </w:rPr>
              <w:t>06</w:t>
            </w:r>
            <w:r>
              <w:rPr>
                <w:rFonts w:hint="default" w:ascii="Times New Roman" w:hAnsi="Times New Roman" w:eastAsia="宋体" w:cs="Times New Roman"/>
                <w:color w:val="auto"/>
                <w:sz w:val="21"/>
                <w:szCs w:val="21"/>
                <w:lang w:val="en-US" w:eastAsia="zh-CN"/>
              </w:rPr>
              <w:t>月</w:t>
            </w:r>
            <w:r>
              <w:rPr>
                <w:rFonts w:hint="eastAsia" w:ascii="Times New Roman" w:hAnsi="Times New Roman" w:eastAsia="宋体" w:cs="Times New Roman"/>
                <w:color w:val="auto"/>
                <w:sz w:val="21"/>
                <w:szCs w:val="21"/>
                <w:lang w:val="en-US" w:eastAsia="zh-CN"/>
              </w:rPr>
              <w:t>编制完成安全设计诊断报告，并</w:t>
            </w:r>
            <w:r>
              <w:rPr>
                <w:rFonts w:hint="default" w:ascii="Times New Roman" w:hAnsi="Times New Roman" w:eastAsia="宋体" w:cs="Times New Roman"/>
                <w:color w:val="auto"/>
                <w:sz w:val="21"/>
                <w:szCs w:val="21"/>
                <w:lang w:val="en-US" w:eastAsia="zh-CN"/>
              </w:rPr>
              <w:t>出具</w:t>
            </w:r>
            <w:r>
              <w:rPr>
                <w:rFonts w:hint="eastAsia" w:ascii="Times New Roman" w:hAnsi="Times New Roman" w:eastAsia="宋体" w:cs="Times New Roman"/>
                <w:color w:val="auto"/>
                <w:sz w:val="21"/>
                <w:szCs w:val="21"/>
                <w:lang w:val="en-US" w:eastAsia="zh-CN"/>
              </w:rPr>
              <w:t>了</w:t>
            </w:r>
            <w:r>
              <w:rPr>
                <w:rFonts w:hint="default" w:ascii="Times New Roman" w:hAnsi="Times New Roman" w:eastAsia="宋体" w:cs="Times New Roman"/>
                <w:color w:val="auto"/>
                <w:sz w:val="21"/>
                <w:szCs w:val="21"/>
                <w:lang w:val="en-US" w:eastAsia="zh-CN"/>
              </w:rPr>
              <w:t>总平面布置图、</w:t>
            </w:r>
            <w:r>
              <w:rPr>
                <w:rFonts w:hint="eastAsia" w:ascii="Times New Roman" w:hAnsi="Times New Roman" w:eastAsia="宋体" w:cs="Times New Roman"/>
                <w:color w:val="auto"/>
                <w:sz w:val="21"/>
                <w:szCs w:val="21"/>
                <w:lang w:val="en-US" w:eastAsia="zh-CN"/>
              </w:rPr>
              <w:t>工艺管道及仪表流程图、</w:t>
            </w:r>
            <w:r>
              <w:rPr>
                <w:rFonts w:hint="default" w:ascii="Times New Roman" w:hAnsi="Times New Roman" w:eastAsia="宋体" w:cs="Times New Roman"/>
                <w:color w:val="auto"/>
                <w:sz w:val="21"/>
                <w:szCs w:val="21"/>
                <w:lang w:val="en-US" w:eastAsia="zh-CN"/>
              </w:rPr>
              <w:t>设备</w:t>
            </w:r>
            <w:r>
              <w:rPr>
                <w:rFonts w:hint="eastAsia" w:ascii="Times New Roman" w:hAnsi="Times New Roman" w:eastAsia="宋体" w:cs="Times New Roman"/>
                <w:color w:val="auto"/>
                <w:sz w:val="21"/>
                <w:szCs w:val="21"/>
                <w:lang w:val="en-US" w:eastAsia="zh-CN"/>
              </w:rPr>
              <w:t>布置</w:t>
            </w:r>
            <w:r>
              <w:rPr>
                <w:rFonts w:hint="default" w:ascii="Times New Roman" w:hAnsi="Times New Roman" w:eastAsia="宋体" w:cs="Times New Roman"/>
                <w:color w:val="auto"/>
                <w:sz w:val="21"/>
                <w:szCs w:val="21"/>
                <w:lang w:val="en-US" w:eastAsia="zh-CN"/>
              </w:rPr>
              <w:t>图、爆炸危险区域划分图、可燃气体</w:t>
            </w:r>
            <w:r>
              <w:rPr>
                <w:rFonts w:hint="eastAsia" w:ascii="Times New Roman" w:hAnsi="Times New Roman" w:eastAsia="宋体" w:cs="Times New Roman"/>
                <w:color w:val="auto"/>
                <w:sz w:val="21"/>
                <w:szCs w:val="21"/>
                <w:lang w:val="en-US" w:eastAsia="zh-CN"/>
              </w:rPr>
              <w:t>探测</w:t>
            </w:r>
            <w:r>
              <w:rPr>
                <w:rFonts w:hint="default" w:ascii="Times New Roman" w:hAnsi="Times New Roman" w:eastAsia="宋体" w:cs="Times New Roman"/>
                <w:color w:val="auto"/>
                <w:sz w:val="21"/>
                <w:szCs w:val="21"/>
                <w:lang w:val="en-US" w:eastAsia="zh-CN"/>
              </w:rPr>
              <w:t>器</w:t>
            </w:r>
            <w:r>
              <w:rPr>
                <w:rFonts w:hint="eastAsia" w:ascii="Times New Roman" w:hAnsi="Times New Roman" w:eastAsia="宋体" w:cs="Times New Roman"/>
                <w:color w:val="auto"/>
                <w:sz w:val="21"/>
                <w:szCs w:val="21"/>
                <w:lang w:val="en-US" w:eastAsia="zh-CN"/>
              </w:rPr>
              <w:t>平面</w:t>
            </w:r>
            <w:r>
              <w:rPr>
                <w:rFonts w:hint="default" w:ascii="Times New Roman" w:hAnsi="Times New Roman" w:eastAsia="宋体" w:cs="Times New Roman"/>
                <w:color w:val="auto"/>
                <w:sz w:val="21"/>
                <w:szCs w:val="21"/>
                <w:lang w:val="en-US" w:eastAsia="zh-CN"/>
              </w:rPr>
              <w:t>布置图、洗眼器平面布置图等图纸。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使用淘汰落后安全技术工艺、设备目录列出的工艺、设备。</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未使用淘汰落后的安全技术工艺、设备。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涉及可燃和有毒有害气体泄漏的场所未按国家标准设置检测报警装置，爆炸危险场所未按国家标准安装使用防爆电气设备。</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生产车间</w:t>
            </w:r>
            <w:r>
              <w:rPr>
                <w:rFonts w:hint="eastAsia" w:cs="Times New Roman"/>
                <w:color w:val="auto"/>
                <w:sz w:val="21"/>
                <w:szCs w:val="21"/>
                <w:lang w:val="en-US" w:eastAsia="zh-CN"/>
              </w:rPr>
              <w:t>的精制工段</w:t>
            </w:r>
            <w:r>
              <w:rPr>
                <w:rFonts w:hint="default" w:ascii="Times New Roman" w:hAnsi="Times New Roman" w:eastAsia="宋体" w:cs="Times New Roman"/>
                <w:color w:val="auto"/>
                <w:sz w:val="21"/>
                <w:szCs w:val="21"/>
                <w:lang w:eastAsia="zh-CN"/>
              </w:rPr>
              <w:t>设置了可燃气体检测报警器，且使用防爆型电气设备。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控制室或机柜间面向具有火灾、爆炸危险性装置一侧不满足国家标准关于防火防爆的要求。</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控制室或机柜间未面向火灾、爆炸危险性装置一侧。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14</w:t>
            </w:r>
          </w:p>
        </w:tc>
        <w:tc>
          <w:tcPr>
            <w:tcW w:w="4397" w:type="dxa"/>
            <w:noWrap w:val="0"/>
            <w:vAlign w:val="center"/>
          </w:tcPr>
          <w:p>
            <w:p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shd w:val="clear" w:color="auto" w:fill="FFFFFF"/>
                <w14:textFill>
                  <w14:solidFill>
                    <w14:schemeClr w14:val="tx1"/>
                  </w14:solidFill>
                </w14:textFill>
              </w:rPr>
              <w:t>化工生产装置未按国家标准要求设置双重电源供电，自动化控制系统未设置不间断电源。</w:t>
            </w:r>
          </w:p>
        </w:tc>
        <w:tc>
          <w:tcPr>
            <w:tcW w:w="1090" w:type="dxa"/>
            <w:noWrap w:val="0"/>
            <w:vAlign w:val="center"/>
          </w:tcPr>
          <w:p>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eastAsia" w:ascii="宋体" w:hAnsi="宋体" w:cs="宋体"/>
                <w:color w:val="auto"/>
                <w:szCs w:val="21"/>
                <w:shd w:val="clear" w:color="auto" w:fill="FFFFFF"/>
              </w:rPr>
              <w:t>糠醛生产装置用电为三级用电负荷，</w:t>
            </w:r>
            <w:r>
              <w:rPr>
                <w:rFonts w:hint="eastAsia" w:ascii="宋体" w:hAnsi="宋体" w:cs="宋体"/>
                <w:color w:val="auto"/>
                <w:szCs w:val="21"/>
                <w:shd w:val="clear" w:color="auto" w:fill="FFFFFF"/>
                <w:lang w:val="en-US" w:eastAsia="zh-CN"/>
              </w:rPr>
              <w:t>采用</w:t>
            </w:r>
            <w:r>
              <w:rPr>
                <w:rFonts w:hint="eastAsia" w:ascii="宋体" w:hAnsi="宋体" w:cs="宋体"/>
                <w:color w:val="auto"/>
                <w:szCs w:val="21"/>
                <w:shd w:val="clear" w:color="auto" w:fill="FFFFFF"/>
              </w:rPr>
              <w:t>柴油发电机作为备用电源，可燃气体检测报警系统、火灾报警系统、自动控制系统设UPS电源。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安全阀、爆破片等安全附件未正常投用。</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安全阀等安全附件</w:t>
            </w:r>
            <w:r>
              <w:rPr>
                <w:rFonts w:hint="eastAsia" w:ascii="Times New Roman" w:hAnsi="Times New Roman" w:eastAsia="宋体" w:cs="Times New Roman"/>
                <w:color w:val="auto"/>
                <w:sz w:val="21"/>
                <w:szCs w:val="21"/>
                <w:lang w:eastAsia="zh-CN"/>
              </w:rPr>
              <w:t>正常使用</w:t>
            </w:r>
            <w:r>
              <w:rPr>
                <w:rFonts w:hint="default" w:ascii="Times New Roman" w:hAnsi="Times New Roman" w:eastAsia="宋体" w:cs="Times New Roman"/>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未建立与岗位相匹配的全员安全生产责任制或者未制定实施生产安全事故隐患排查治理制度。</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建立</w:t>
            </w:r>
            <w:r>
              <w:rPr>
                <w:rFonts w:hint="default" w:ascii="Times New Roman" w:hAnsi="Times New Roman" w:eastAsia="宋体" w:cs="Times New Roman"/>
                <w:color w:val="auto"/>
                <w:sz w:val="21"/>
                <w:szCs w:val="21"/>
                <w:lang w:eastAsia="zh-CN"/>
              </w:rPr>
              <w:t>了</w:t>
            </w:r>
            <w:r>
              <w:rPr>
                <w:rFonts w:hint="default" w:ascii="Times New Roman" w:hAnsi="Times New Roman" w:eastAsia="宋体" w:cs="Times New Roman"/>
                <w:color w:val="auto"/>
                <w:sz w:val="21"/>
                <w:szCs w:val="21"/>
              </w:rPr>
              <w:t>与岗位相匹配的全员安全生产责任制，制定实施生产安全事故隐患排查治理制度。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未制定操作规程和工艺控制指标。</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制定了相应的操作规程和工艺控制指标。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未按照国家标准制定动火、进入受限空间等特殊作业管理制度，或者制度未有效执行。</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制定相关动火、进入受限空间等特殊作业管理制度。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shd w:val="clear" w:color="auto" w:fill="FFFFFF"/>
              </w:rPr>
              <w:t>未涉及新开发的危险化学品生产工艺</w:t>
            </w:r>
            <w:r>
              <w:rPr>
                <w:rFonts w:hint="default" w:ascii="Times New Roman" w:hAnsi="Times New Roman" w:eastAsia="宋体" w:cs="Times New Roman"/>
                <w:color w:val="auto"/>
                <w:sz w:val="21"/>
                <w:szCs w:val="21"/>
                <w:shd w:val="clear" w:color="auto" w:fill="FFFFFF"/>
                <w:lang w:eastAsia="zh-CN"/>
              </w:rPr>
              <w:t>；未涉及国内首次化工工艺；无新建装置</w:t>
            </w:r>
            <w:r>
              <w:rPr>
                <w:rFonts w:hint="eastAsia" w:ascii="Times New Roman" w:hAnsi="Times New Roman" w:eastAsia="宋体" w:cs="Times New Roman"/>
                <w:color w:val="auto"/>
                <w:sz w:val="21"/>
                <w:szCs w:val="21"/>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602"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439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未按国家标准分区分类储存危险化学品，超量、超品种储存危险化学品，相互禁配物质混放混存。</w:t>
            </w:r>
          </w:p>
        </w:tc>
        <w:tc>
          <w:tcPr>
            <w:tcW w:w="1090"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c>
          <w:tcPr>
            <w:tcW w:w="3307" w:type="dxa"/>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按标准分类储存危险化学品。</w:t>
            </w:r>
          </w:p>
        </w:tc>
      </w:tr>
    </w:tbl>
    <w:p>
      <w:pPr>
        <w:bidi w:val="0"/>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pStyle w:val="4"/>
        <w:keepNext/>
        <w:keepLines/>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360" w:lineRule="auto"/>
        <w:ind w:left="575" w:leftChars="0" w:hanging="575"/>
        <w:jc w:val="center"/>
        <w:textAlignment w:val="auto"/>
        <w:rPr>
          <w:rFonts w:hint="eastAsia" w:ascii="楷体" w:hAnsi="楷体" w:eastAsia="楷体" w:cs="楷体"/>
          <w:b w:val="0"/>
          <w:bCs/>
          <w:kern w:val="2"/>
          <w:sz w:val="32"/>
          <w:szCs w:val="32"/>
          <w:lang w:val="en-US" w:eastAsia="zh-CN"/>
        </w:rPr>
      </w:pPr>
      <w:bookmarkStart w:id="387" w:name="_Toc16292"/>
      <w:r>
        <w:rPr>
          <w:rFonts w:hint="eastAsia" w:ascii="楷体" w:hAnsi="楷体" w:eastAsia="楷体" w:cs="楷体"/>
          <w:b w:val="0"/>
          <w:bCs/>
          <w:kern w:val="2"/>
          <w:sz w:val="32"/>
          <w:szCs w:val="32"/>
          <w:lang w:val="en-US" w:eastAsia="zh-CN"/>
        </w:rPr>
        <w:t>附件6 安全评价结论汇总表</w:t>
      </w:r>
      <w:bookmarkEnd w:id="387"/>
    </w:p>
    <w:tbl>
      <w:tblPr>
        <w:tblStyle w:val="37"/>
        <w:tblW w:w="9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4664"/>
        <w:gridCol w:w="3142"/>
        <w:gridCol w:w="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4664" w:type="dxa"/>
            <w:tcBorders>
              <w:tl2br w:val="nil"/>
              <w:tr2bl w:val="nil"/>
            </w:tcBorders>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评价内容</w:t>
            </w:r>
          </w:p>
        </w:tc>
        <w:tc>
          <w:tcPr>
            <w:tcW w:w="3142" w:type="dxa"/>
            <w:tcBorders>
              <w:tl2br w:val="nil"/>
              <w:tr2bl w:val="nil"/>
            </w:tcBorders>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企业情况</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企业的选址布局是否符合国家产业政策以及当地人民政府的规划和布局。新设立企业是否在地方人民政府规划的专门用于危险化学品生产、储存的区域内。</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企业的选址布局符合国家产业政策以及当地人民政府的规划和布局。</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危险化学品生产装置或储存危险化学品数量构成重大危险源的储存设施，与《危险化学品安全管理条例》第十九条规定的场所、设施、区域之间的距离应符合有关法律、法规、规章和国家标准或行业标准的规定。</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eastAsia" w:cs="Times New Roman"/>
                <w:color w:val="auto"/>
                <w:sz w:val="21"/>
                <w:szCs w:val="21"/>
                <w:lang w:eastAsia="zh-CN"/>
              </w:rPr>
              <w:t>黑山鸿泰化工有限公司</w:t>
            </w:r>
            <w:r>
              <w:rPr>
                <w:rFonts w:hint="default" w:ascii="Times New Roman" w:hAnsi="Times New Roman" w:eastAsia="宋体" w:cs="Times New Roman"/>
                <w:color w:val="auto"/>
                <w:sz w:val="21"/>
                <w:szCs w:val="21"/>
              </w:rPr>
              <w:t>未构成危险化学品重大危险源。</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生产企业总体布局是否符合GB 50489、GB 50187和GB 50016等标准的要求，石油化工企业是否符合GB 50160等标准的要求。</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企业总体布局符合GB50489、GB50187和GB50016等标准的要求。</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新建、改建、扩建建设项目及其储存设施和安全设施、设备是否经具备国家规定资质的单位设计、制造和施工建设；涉及危险化工工艺、重点监管危险化学品的装置，是否由符合资质要求的设计单位进行设计。</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未涉及新改扩建设项目</w:t>
            </w:r>
            <w:r>
              <w:rPr>
                <w:rFonts w:hint="default" w:ascii="Times New Roman" w:hAnsi="Times New Roman" w:eastAsia="宋体" w:cs="Times New Roman"/>
                <w:color w:val="auto"/>
                <w:sz w:val="21"/>
                <w:szCs w:val="21"/>
              </w:rPr>
              <w:t>。</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是否采用和使用国家明令淘汰、禁止使用的工艺、设备。</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未采用和使用国家明令淘汰、禁止使用的工艺、设备。</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新开发的危险化学品生产工艺是否是在小试、中试、工业化试验的基础上逐步放大到工业化生产。</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无新开发的危险化学品生产工艺。</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国内首次使用的化工工艺，是否经过省级有关部门组织的安全可靠性论证。</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不存在国内首次使用的化工工艺。</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涉及危险化工工艺、重点监管危险化学品的装置是否装设自动化控制系统。</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不涉及危险化工工艺</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重点监管危险化学品。</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涉及危险化工工艺的大型化工装置是否装设紧急停车系统。</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未涉及危险化工工艺的大型化工装置。</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涉及易燃易爆、有毒有害气体化学品的场所是否装设易燃易爆、有毒有害介质泄漏报警等安全设施。</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生产</w:t>
            </w:r>
            <w:r>
              <w:rPr>
                <w:rFonts w:hint="eastAsia" w:cs="Times New Roman"/>
                <w:color w:val="auto"/>
                <w:sz w:val="21"/>
                <w:szCs w:val="21"/>
                <w:lang w:val="en-US" w:eastAsia="zh-CN"/>
              </w:rPr>
              <w:t>车间精制工段</w:t>
            </w:r>
            <w:r>
              <w:rPr>
                <w:rFonts w:hint="default" w:ascii="Times New Roman" w:hAnsi="Times New Roman" w:eastAsia="宋体" w:cs="Times New Roman"/>
                <w:color w:val="auto"/>
                <w:sz w:val="21"/>
                <w:szCs w:val="21"/>
                <w:lang w:eastAsia="zh-CN"/>
              </w:rPr>
              <w:t>设置了可燃</w:t>
            </w:r>
            <w:r>
              <w:rPr>
                <w:rFonts w:hint="default" w:ascii="Times New Roman" w:hAnsi="Times New Roman" w:eastAsia="宋体" w:cs="Times New Roman"/>
                <w:color w:val="auto"/>
                <w:sz w:val="21"/>
                <w:szCs w:val="21"/>
              </w:rPr>
              <w:t>气体报警装置。</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生产区与非生产区是否分开设置，并符合国家标准或行业标准规定的距离。</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生产区与非生产区分开设置。</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危险化学品生产装置和储存设施之间及其与建（构）筑物之间的距离是否符合有关标准规范的规定。同一厂区内的设备、设施及建（构）筑物的布置是否适用同一标准的规定。</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危险化学品生产装置和储存设施之间及其与建（构）筑物之间的距离满足GB50016等要求。</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生产企业是否配备相应的职业危害防护设施，并为从业人员配备符合国家标准或行业标准的劳动防护用品。</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有较为完善的职业危害防护设施，为从业人员配备劳动防护用品。</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是否按照国家有关标准，对</w:t>
            </w:r>
            <w:r>
              <w:rPr>
                <w:rFonts w:hint="eastAsia" w:cs="Times New Roman"/>
                <w:color w:val="auto"/>
                <w:sz w:val="21"/>
                <w:szCs w:val="21"/>
                <w:lang w:eastAsia="zh-CN"/>
              </w:rPr>
              <w:t>该企业</w:t>
            </w:r>
            <w:r>
              <w:rPr>
                <w:rFonts w:hint="default" w:ascii="Times New Roman" w:hAnsi="Times New Roman" w:eastAsia="宋体" w:cs="Times New Roman"/>
                <w:color w:val="auto"/>
                <w:sz w:val="21"/>
                <w:szCs w:val="21"/>
              </w:rPr>
              <w:t>的生产、储存和使用装置、设施、场所进行重大危险源辨识。</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按要求</w:t>
            </w:r>
            <w:r>
              <w:rPr>
                <w:rFonts w:hint="default" w:ascii="Times New Roman" w:hAnsi="Times New Roman" w:eastAsia="宋体" w:cs="Times New Roman"/>
                <w:color w:val="auto"/>
                <w:sz w:val="21"/>
                <w:szCs w:val="21"/>
                <w:lang w:eastAsia="zh-CN"/>
              </w:rPr>
              <w:t>进行</w:t>
            </w:r>
            <w:r>
              <w:rPr>
                <w:rFonts w:hint="default" w:ascii="Times New Roman" w:hAnsi="Times New Roman" w:eastAsia="宋体" w:cs="Times New Roman"/>
                <w:color w:val="auto"/>
                <w:sz w:val="21"/>
                <w:szCs w:val="21"/>
              </w:rPr>
              <w:t>重大危险源辨识。</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对已确定为重大危险源的，是否按照《危险化学品重大危险源监督管理暂行规定》的要求进行管理并备案。</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企业未构成重大危险源。</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是否依法设置安全生产管理机构，足额配备专职安全生产管理人员。</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设置</w:t>
            </w:r>
            <w:r>
              <w:rPr>
                <w:rFonts w:hint="default" w:ascii="Times New Roman" w:hAnsi="Times New Roman" w:eastAsia="宋体" w:cs="Times New Roman"/>
                <w:color w:val="auto"/>
                <w:sz w:val="21"/>
                <w:szCs w:val="21"/>
                <w:lang w:eastAsia="zh-CN"/>
              </w:rPr>
              <w:t>了</w:t>
            </w:r>
            <w:r>
              <w:rPr>
                <w:rFonts w:hint="default" w:ascii="Times New Roman" w:hAnsi="Times New Roman" w:eastAsia="宋体" w:cs="Times New Roman"/>
                <w:color w:val="auto"/>
                <w:sz w:val="21"/>
                <w:szCs w:val="21"/>
              </w:rPr>
              <w:t>安全生产管理机构，配备</w:t>
            </w:r>
            <w:r>
              <w:rPr>
                <w:rFonts w:hint="default" w:ascii="Times New Roman" w:hAnsi="Times New Roman" w:eastAsia="宋体" w:cs="Times New Roman"/>
                <w:color w:val="auto"/>
                <w:sz w:val="21"/>
                <w:szCs w:val="21"/>
                <w:lang w:val="en-US" w:eastAsia="zh-CN"/>
              </w:rPr>
              <w:t>1名</w:t>
            </w:r>
            <w:r>
              <w:rPr>
                <w:rFonts w:hint="default" w:ascii="Times New Roman" w:hAnsi="Times New Roman" w:eastAsia="宋体" w:cs="Times New Roman"/>
                <w:color w:val="auto"/>
                <w:sz w:val="21"/>
                <w:szCs w:val="21"/>
              </w:rPr>
              <w:t>专职安全生产管理人员</w:t>
            </w:r>
            <w:r>
              <w:rPr>
                <w:rFonts w:hint="default" w:ascii="Times New Roman" w:hAnsi="Times New Roman" w:eastAsia="宋体" w:cs="Times New Roman"/>
                <w:color w:val="auto"/>
                <w:sz w:val="21"/>
                <w:szCs w:val="21"/>
                <w:lang w:eastAsia="zh-CN"/>
              </w:rPr>
              <w:t>。</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是否建立全员安全生产责任制，并保证每名从业人员的安全生产责任与职务、岗位相匹配。</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建立全员安全生产责任制，每名从业人员的安全生产责任与职务、岗位相匹配。</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是否根据化工工艺、装置、设施等实际情况，制定完善至少包括《危险化学品生产企业安全生产许可证实施办法》第十四条规定的十九项制度。</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安全生产管理制度较完善。</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是否根据危险化学品的生产工艺、技术、设备特点和原辅料、产品的危险性编制岗位操作安全规程。</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编制了相关岗位操作规程。</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生产企业主要负责人、分管安全负责人和安全生产管理人员是否按有关规定参加安全生产培训，并经考核合格，取得安全资格证书。</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企业主要负责人和安全生产管理人员按有关规定参加安全生产培训，并经考核合格，取得安全资格证书。</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生产企业分管安全负责人、分管生产负责人、分管技术负责人是否具备一定的化工专业知识或相应的专业学历。</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分管</w:t>
            </w:r>
            <w:r>
              <w:rPr>
                <w:rFonts w:hint="default" w:ascii="Times New Roman" w:hAnsi="Times New Roman" w:eastAsia="宋体" w:cs="Times New Roman"/>
                <w:color w:val="auto"/>
                <w:sz w:val="21"/>
                <w:szCs w:val="21"/>
                <w:lang w:eastAsia="zh-CN"/>
              </w:rPr>
              <w:t>安全</w:t>
            </w:r>
            <w:r>
              <w:rPr>
                <w:rFonts w:hint="eastAsia" w:ascii="Times New Roman" w:hAnsi="Times New Roman" w:eastAsia="宋体" w:cs="Times New Roman"/>
                <w:color w:val="auto"/>
                <w:sz w:val="21"/>
                <w:szCs w:val="21"/>
                <w:lang w:eastAsia="zh-CN"/>
              </w:rPr>
              <w:t>负责人</w:t>
            </w:r>
            <w:r>
              <w:rPr>
                <w:rFonts w:hint="eastAsia" w:cs="Times New Roman"/>
                <w:color w:val="auto"/>
                <w:sz w:val="21"/>
                <w:szCs w:val="21"/>
                <w:lang w:eastAsia="zh-CN"/>
              </w:rPr>
              <w:t>蔡天广</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eastAsia="zh-CN"/>
              </w:rPr>
              <w:t>主要负责人</w:t>
            </w:r>
            <w:r>
              <w:rPr>
                <w:rFonts w:hint="eastAsia" w:cs="Times New Roman"/>
                <w:color w:val="auto"/>
                <w:sz w:val="21"/>
                <w:szCs w:val="21"/>
                <w:lang w:eastAsia="zh-CN"/>
              </w:rPr>
              <w:t>蔡红</w:t>
            </w:r>
            <w:r>
              <w:rPr>
                <w:rFonts w:hint="default" w:ascii="Times New Roman" w:hAnsi="Times New Roman" w:eastAsia="宋体" w:cs="Times New Roman"/>
                <w:color w:val="auto"/>
                <w:sz w:val="21"/>
                <w:szCs w:val="21"/>
              </w:rPr>
              <w:t>具备</w:t>
            </w:r>
            <w:r>
              <w:rPr>
                <w:rFonts w:hint="default" w:ascii="Times New Roman" w:hAnsi="Times New Roman" w:eastAsia="宋体" w:cs="Times New Roman"/>
                <w:color w:val="auto"/>
                <w:sz w:val="21"/>
                <w:szCs w:val="21"/>
                <w:lang w:eastAsia="zh-CN"/>
              </w:rPr>
              <w:t>一定的化工专业</w:t>
            </w:r>
            <w:r>
              <w:rPr>
                <w:rFonts w:hint="default" w:ascii="Times New Roman" w:hAnsi="Times New Roman" w:eastAsia="宋体" w:cs="Times New Roman"/>
                <w:color w:val="auto"/>
                <w:sz w:val="21"/>
                <w:szCs w:val="21"/>
              </w:rPr>
              <w:t>知识。</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22</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专职安全生产管理人员是否具备国民教育化工化学类（或安全工程）中等职业教育以上学历或化工化学类中级以上专业技术职称。是否有危险物品安全类注册安全工程师从事安全管理工作。</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专职安全生产管理人员具备化工学历。</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23</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特种作业人员是否依照《特种作业人员安全技术培训考核管理规定》，经过专门的安全技术培训并考核合格，并取得特种作业操作证书。</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企业的特种作业人员经过专门的安全技术培训并考核合格，并取得特种作业操作证书。</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其他从业人员是否按照国家有关规定，经安全教育和培训并考核合格。</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其他从业人员经安全教育和培训并考核合格。</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是否按照国家规定提取与安全生产有关的费用，并保证安全生产所必须的资金投入。</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企业</w:t>
            </w:r>
            <w:r>
              <w:rPr>
                <w:rFonts w:hint="default" w:ascii="Times New Roman" w:hAnsi="Times New Roman" w:eastAsia="宋体" w:cs="Times New Roman"/>
                <w:color w:val="auto"/>
                <w:sz w:val="21"/>
                <w:szCs w:val="21"/>
              </w:rPr>
              <w:t>设有安全生产费用提取制度，按照国家规定提取与安全生产有关的费用，保证安全生产所必须的资金投入。</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26</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是否依法参加工伤保险，为从业人员缴纳保险费。</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依法</w:t>
            </w:r>
            <w:r>
              <w:rPr>
                <w:rFonts w:hint="default" w:ascii="Times New Roman" w:hAnsi="Times New Roman" w:eastAsia="宋体" w:cs="Times New Roman"/>
                <w:color w:val="auto"/>
                <w:sz w:val="21"/>
                <w:szCs w:val="21"/>
              </w:rPr>
              <w:t>参加工伤保险，为从业人员缴纳保险费。</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27</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是否依法进行危险化学品登记，为用户提供化学品安全技术说明书，并在危险化学品包装（包括外包装件）上粘贴或者拴挂与包装内危险化学品相符的化学品安全标签。</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依法进行了危险化学品登记，危险化学品安全技术说明书齐全，并在危险化学品包装上粘贴化学品安全标签。</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是否按照国家有关规定编制危险化学品事故应急预案并报有关部门备案。</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按照国家有关规定编制危险化学品事故应急预案并报有关部门备案。</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29</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是否组建应急救援组织或者明确应急救援人员，配备必要的应急救援器材、设备设施，并定期进行培训、演练、修订。</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建立有应急救援组织配备必要的应急救援器材、设备设施，并定期进行培训、演练。</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生产、储存和使用氯气、氨气、光气、硫化氢等吸入性有毒有害气体的企业，是否配备至少两套以上全封闭防化服；构成重大危险源的，是否设立气体防护站（组）。</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生产、储存和使用均不涉及氯气、氨气、硫化氢等吸入性有毒有害气体。</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无关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31</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企业是否按有关规定委托具备国家规定资质的安全评价机构进行安全评价，并按照安全评价报告的意见对存在的安全生产问题进行整改。</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企业已委托有资质的安全评价机构进行安全评价，并按照安全评价报告的意见对存在的安全生产问题进行了整改。</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w:t>
            </w:r>
          </w:p>
        </w:tc>
        <w:tc>
          <w:tcPr>
            <w:tcW w:w="4664" w:type="dxa"/>
            <w:tcBorders>
              <w:tl2br w:val="nil"/>
              <w:tr2bl w:val="nil"/>
            </w:tcBorders>
            <w:noWrap w:val="0"/>
            <w:vAlign w:val="center"/>
          </w:tcPr>
          <w:p>
            <w:pPr>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是否符合有关法律、行政法规和国家标准或者行业标准规定的其他安全生产条件。</w:t>
            </w:r>
          </w:p>
        </w:tc>
        <w:tc>
          <w:tcPr>
            <w:tcW w:w="3142" w:type="dxa"/>
            <w:tcBorders>
              <w:tl2br w:val="nil"/>
              <w:tr2bl w:val="nil"/>
            </w:tcBorders>
            <w:noWrap w:val="0"/>
            <w:vAlign w:val="center"/>
          </w:tcPr>
          <w:p>
            <w:pPr>
              <w:spacing w:line="240" w:lineRule="auto"/>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符合有关法律、行政法规和国家标准或者行业标准规定的其他安全生产条件</w:t>
            </w:r>
            <w:r>
              <w:rPr>
                <w:rFonts w:hint="default" w:ascii="Times New Roman" w:hAnsi="Times New Roman" w:eastAsia="宋体" w:cs="Times New Roman"/>
                <w:color w:val="auto"/>
                <w:sz w:val="21"/>
                <w:szCs w:val="21"/>
              </w:rPr>
              <w:t>。</w:t>
            </w:r>
          </w:p>
        </w:tc>
        <w:tc>
          <w:tcPr>
            <w:tcW w:w="749"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jc w:val="center"/>
        </w:trPr>
        <w:tc>
          <w:tcPr>
            <w:tcW w:w="648" w:type="dxa"/>
            <w:tcBorders>
              <w:tl2br w:val="nil"/>
              <w:tr2bl w:val="nil"/>
            </w:tcBorders>
            <w:noWrap w:val="0"/>
            <w:vAlign w:val="center"/>
          </w:tcPr>
          <w:p>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综合评价结论</w:t>
            </w:r>
          </w:p>
        </w:tc>
        <w:tc>
          <w:tcPr>
            <w:tcW w:w="8555" w:type="dxa"/>
            <w:gridSpan w:val="3"/>
            <w:tcBorders>
              <w:tl2br w:val="nil"/>
              <w:tr2bl w:val="nil"/>
            </w:tcBorders>
            <w:noWrap w:val="0"/>
            <w:vAlign w:val="center"/>
          </w:tcPr>
          <w:p>
            <w:pPr>
              <w:spacing w:line="240" w:lineRule="auto"/>
              <w:ind w:firstLine="210" w:firstLineChars="100"/>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p>
          <w:p>
            <w:pPr>
              <w:spacing w:line="360" w:lineRule="auto"/>
              <w:ind w:firstLine="420" w:firstLineChars="20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黑山鸿泰化工有限公司</w:t>
            </w:r>
            <w:r>
              <w:rPr>
                <w:rFonts w:hint="default" w:ascii="Times New Roman" w:hAnsi="Times New Roman" w:eastAsia="宋体" w:cs="Times New Roman"/>
                <w:color w:val="000000" w:themeColor="text1"/>
                <w:sz w:val="21"/>
                <w:szCs w:val="21"/>
                <w14:textFill>
                  <w14:solidFill>
                    <w14:schemeClr w14:val="tx1"/>
                  </w14:solidFill>
                </w14:textFill>
              </w:rPr>
              <w:t>生产状况符合安全要求。</w:t>
            </w:r>
          </w:p>
          <w:p>
            <w:pPr>
              <w:pStyle w:val="2"/>
              <w:spacing w:line="360" w:lineRule="auto"/>
              <w:ind w:left="0" w:leftChars="0" w:firstLine="0" w:firstLineChars="0"/>
              <w:rPr>
                <w:rFonts w:hint="default"/>
                <w:color w:val="000000" w:themeColor="text1"/>
                <w14:textFill>
                  <w14:solidFill>
                    <w14:schemeClr w14:val="tx1"/>
                  </w14:solidFill>
                </w14:textFill>
              </w:rPr>
            </w:pPr>
          </w:p>
          <w:p>
            <w:pPr>
              <w:spacing w:line="360" w:lineRule="auto"/>
              <w:rPr>
                <w:rFonts w:hint="default"/>
                <w:color w:val="000000" w:themeColor="text1"/>
                <w14:textFill>
                  <w14:solidFill>
                    <w14:schemeClr w14:val="tx1"/>
                  </w14:solidFill>
                </w14:textFill>
              </w:rPr>
            </w:pPr>
          </w:p>
          <w:p>
            <w:pPr>
              <w:spacing w:line="360" w:lineRule="auto"/>
              <w:ind w:firstLine="6090" w:firstLineChars="290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评价机构盖章</w:t>
            </w:r>
          </w:p>
          <w:p>
            <w:pPr>
              <w:spacing w:line="36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2023</w:t>
            </w:r>
            <w:r>
              <w:rPr>
                <w:rFonts w:hint="default" w:ascii="Times New Roman" w:hAnsi="Times New Roman" w:eastAsia="宋体" w:cs="Times New Roman"/>
                <w:color w:val="000000" w:themeColor="text1"/>
                <w:sz w:val="21"/>
                <w:szCs w:val="21"/>
                <w14:textFill>
                  <w14:solidFill>
                    <w14:schemeClr w14:val="tx1"/>
                  </w14:solidFill>
                </w14:textFill>
              </w:rPr>
              <w:t>年</w:t>
            </w:r>
            <w:r>
              <w:rPr>
                <w:rFonts w:hint="eastAsia" w:cs="Times New Roman"/>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月</w:t>
            </w:r>
            <w:r>
              <w:rPr>
                <w:rFonts w:hint="eastAsia" w:cs="Times New Roman"/>
                <w:color w:val="000000" w:themeColor="text1"/>
                <w:sz w:val="21"/>
                <w:szCs w:val="21"/>
                <w:lang w:val="en-US" w:eastAsia="zh-CN"/>
                <w14:textFill>
                  <w14:solidFill>
                    <w14:schemeClr w14:val="tx1"/>
                  </w14:solidFill>
                </w14:textFill>
              </w:rPr>
              <w:t>20</w:t>
            </w:r>
            <w:r>
              <w:rPr>
                <w:rFonts w:hint="default" w:ascii="Times New Roman" w:hAnsi="Times New Roman" w:eastAsia="宋体" w:cs="Times New Roman"/>
                <w:color w:val="000000" w:themeColor="text1"/>
                <w:sz w:val="21"/>
                <w:szCs w:val="21"/>
                <w14:textFill>
                  <w14:solidFill>
                    <w14:schemeClr w14:val="tx1"/>
                  </w14:solidFill>
                </w14:textFill>
              </w:rPr>
              <w:t>日</w:t>
            </w:r>
          </w:p>
        </w:tc>
      </w:tr>
    </w:tbl>
    <w:p>
      <w:pPr>
        <w:bidi w:val="0"/>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4"/>
        <w:keepNext/>
        <w:keepLines/>
        <w:pageBreakBefore w:val="0"/>
        <w:widowControl w:val="0"/>
        <w:numPr>
          <w:ilvl w:val="1"/>
          <w:numId w:val="0"/>
        </w:numPr>
        <w:kinsoku/>
        <w:wordWrap/>
        <w:overflowPunct/>
        <w:topLinePunct w:val="0"/>
        <w:autoSpaceDE/>
        <w:autoSpaceDN/>
        <w:bidi w:val="0"/>
        <w:adjustRightInd/>
        <w:snapToGrid/>
        <w:spacing w:before="157" w:beforeLines="50" w:beforeAutospacing="0" w:after="157" w:afterLines="50" w:afterAutospacing="0" w:line="360" w:lineRule="auto"/>
        <w:ind w:left="575" w:leftChars="0" w:hanging="575"/>
        <w:jc w:val="center"/>
        <w:textAlignment w:val="auto"/>
        <w:rPr>
          <w:rFonts w:hint="eastAsia" w:ascii="楷体" w:hAnsi="楷体" w:eastAsia="楷体" w:cs="楷体"/>
          <w:b w:val="0"/>
          <w:bCs/>
          <w:kern w:val="2"/>
          <w:sz w:val="32"/>
          <w:szCs w:val="32"/>
          <w:lang w:val="en-US" w:eastAsia="zh-CN"/>
        </w:rPr>
      </w:pPr>
      <w:bookmarkStart w:id="388" w:name="_Toc11088"/>
      <w:r>
        <w:rPr>
          <w:rFonts w:hint="eastAsia" w:ascii="楷体" w:hAnsi="楷体" w:eastAsia="楷体" w:cs="楷体"/>
          <w:b w:val="0"/>
          <w:bCs/>
          <w:kern w:val="2"/>
          <w:sz w:val="32"/>
          <w:szCs w:val="32"/>
          <w:lang w:val="en-US" w:eastAsia="zh-CN"/>
        </w:rPr>
        <w:t xml:space="preserve">附件7 </w:t>
      </w:r>
      <w:bookmarkEnd w:id="380"/>
      <w:bookmarkEnd w:id="381"/>
      <w:bookmarkEnd w:id="382"/>
      <w:bookmarkEnd w:id="383"/>
      <w:r>
        <w:rPr>
          <w:rFonts w:hint="eastAsia" w:ascii="楷体" w:hAnsi="楷体" w:eastAsia="楷体" w:cs="楷体"/>
          <w:b w:val="0"/>
          <w:bCs/>
          <w:kern w:val="2"/>
          <w:sz w:val="32"/>
          <w:szCs w:val="32"/>
          <w:lang w:val="en-US" w:eastAsia="zh-CN"/>
        </w:rPr>
        <w:t>被评价单位提供的原始资料目录</w:t>
      </w:r>
      <w:bookmarkEnd w:id="388"/>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营业执照</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安全生产许可证</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危险化学品登记证</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土地</w:t>
      </w:r>
      <w:r>
        <w:rPr>
          <w:rFonts w:hint="eastAsia" w:ascii="Times New Roman" w:hAnsi="Times New Roman" w:cs="Times New Roman"/>
          <w:color w:val="auto"/>
          <w:sz w:val="28"/>
          <w:szCs w:val="28"/>
          <w:lang w:val="en-US" w:eastAsia="zh-CN"/>
        </w:rPr>
        <w:t>使用证明文件</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建设工程消防验收意见书</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防雷装置检测报告</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主要负责人、安全员培训</w:t>
      </w:r>
      <w:r>
        <w:rPr>
          <w:rFonts w:hint="eastAsia" w:ascii="Times New Roman" w:hAnsi="Times New Roman" w:cs="Times New Roman"/>
          <w:color w:val="auto"/>
          <w:sz w:val="28"/>
          <w:szCs w:val="28"/>
          <w:lang w:val="en-US" w:eastAsia="zh-CN"/>
        </w:rPr>
        <w:t>证书</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主要负责人、安全员</w:t>
      </w:r>
      <w:r>
        <w:rPr>
          <w:rFonts w:hint="eastAsia" w:ascii="Times New Roman" w:hAnsi="Times New Roman" w:cs="Times New Roman"/>
          <w:color w:val="auto"/>
          <w:sz w:val="28"/>
          <w:szCs w:val="28"/>
          <w:lang w:val="en-US" w:eastAsia="zh-CN"/>
        </w:rPr>
        <w:t>学历证明文件</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特种作业操作资格证书</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工伤保险</w:t>
      </w:r>
      <w:r>
        <w:rPr>
          <w:rFonts w:hint="eastAsia" w:ascii="Times New Roman" w:hAnsi="Times New Roman" w:cs="Times New Roman"/>
          <w:bCs/>
          <w:color w:val="auto"/>
          <w:sz w:val="28"/>
          <w:szCs w:val="28"/>
          <w:lang w:val="en-US" w:eastAsia="zh-CN"/>
        </w:rPr>
        <w:t>缴费证明文件</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bCs/>
          <w:color w:val="auto"/>
          <w:sz w:val="28"/>
          <w:szCs w:val="28"/>
        </w:rPr>
        <w:t>安全阀</w:t>
      </w:r>
      <w:r>
        <w:rPr>
          <w:rFonts w:hint="eastAsia" w:ascii="Times New Roman" w:hAnsi="Times New Roman" w:cs="Times New Roman"/>
          <w:bCs/>
          <w:color w:val="auto"/>
          <w:sz w:val="28"/>
          <w:szCs w:val="28"/>
          <w:lang w:eastAsia="zh-CN"/>
        </w:rPr>
        <w:t>、</w:t>
      </w:r>
      <w:r>
        <w:rPr>
          <w:rFonts w:hint="eastAsia" w:ascii="Times New Roman" w:hAnsi="Times New Roman" w:cs="Times New Roman"/>
          <w:bCs/>
          <w:color w:val="auto"/>
          <w:sz w:val="28"/>
          <w:szCs w:val="28"/>
          <w:lang w:val="en-US" w:eastAsia="zh-CN"/>
        </w:rPr>
        <w:t>压力表</w:t>
      </w:r>
      <w:r>
        <w:rPr>
          <w:rFonts w:hint="default" w:ascii="Times New Roman" w:hAnsi="Times New Roman" w:cs="Times New Roman"/>
          <w:bCs/>
          <w:color w:val="auto"/>
          <w:sz w:val="28"/>
          <w:szCs w:val="28"/>
        </w:rPr>
        <w:t>检测报告</w:t>
      </w:r>
    </w:p>
    <w:p>
      <w:pPr>
        <w:numPr>
          <w:ilvl w:val="0"/>
          <w:numId w:val="26"/>
        </w:numPr>
        <w:spacing w:line="500" w:lineRule="exact"/>
        <w:rPr>
          <w:rFonts w:hint="default" w:ascii="Times New Roman" w:hAnsi="Times New Roman" w:cs="Times New Roman"/>
          <w:bCs/>
          <w:color w:val="auto"/>
          <w:sz w:val="28"/>
          <w:szCs w:val="28"/>
        </w:rPr>
      </w:pPr>
      <w:r>
        <w:rPr>
          <w:rFonts w:hint="default" w:ascii="Times New Roman" w:hAnsi="Times New Roman" w:cs="Times New Roman"/>
          <w:color w:val="auto"/>
          <w:sz w:val="28"/>
          <w:szCs w:val="28"/>
        </w:rPr>
        <w:t>可燃气体报警器检测证书</w:t>
      </w:r>
    </w:p>
    <w:p>
      <w:pPr>
        <w:numPr>
          <w:ilvl w:val="0"/>
          <w:numId w:val="26"/>
        </w:numPr>
        <w:spacing w:line="500" w:lineRule="exact"/>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安全生产责任制、安全生产管理制度、安全操作规程清单</w:t>
      </w:r>
    </w:p>
    <w:p>
      <w:pPr>
        <w:numPr>
          <w:ilvl w:val="0"/>
          <w:numId w:val="26"/>
        </w:numPr>
        <w:spacing w:line="500" w:lineRule="exact"/>
        <w:rPr>
          <w:rFonts w:hint="default" w:ascii="Times New Roman" w:hAnsi="Times New Roman" w:eastAsia="宋体" w:cs="Times New Roman"/>
          <w:bCs/>
          <w:color w:val="FF0000"/>
          <w:sz w:val="28"/>
          <w:szCs w:val="28"/>
        </w:rPr>
      </w:pPr>
      <w:r>
        <w:rPr>
          <w:rFonts w:hint="eastAsia" w:cs="Times New Roman"/>
          <w:bCs/>
          <w:color w:val="FF0000"/>
          <w:sz w:val="28"/>
          <w:szCs w:val="28"/>
          <w:lang w:val="en-US" w:eastAsia="zh-CN"/>
        </w:rPr>
        <w:t>安全生产投入情况表</w:t>
      </w:r>
    </w:p>
    <w:p>
      <w:pPr>
        <w:numPr>
          <w:ilvl w:val="0"/>
          <w:numId w:val="26"/>
        </w:numPr>
        <w:spacing w:line="500" w:lineRule="exact"/>
        <w:rPr>
          <w:rFonts w:hint="default" w:ascii="Times New Roman" w:hAnsi="Times New Roman" w:eastAsia="宋体" w:cs="Times New Roman"/>
          <w:bCs/>
          <w:color w:val="auto"/>
          <w:sz w:val="28"/>
          <w:szCs w:val="28"/>
        </w:rPr>
      </w:pPr>
      <w:r>
        <w:rPr>
          <w:rFonts w:hint="default" w:ascii="Times New Roman" w:hAnsi="Times New Roman" w:eastAsia="宋体" w:cs="Times New Roman"/>
          <w:bCs/>
          <w:color w:val="auto"/>
          <w:sz w:val="28"/>
          <w:szCs w:val="28"/>
        </w:rPr>
        <w:t>生产安全事故应急预案备案登记表</w:t>
      </w:r>
    </w:p>
    <w:p>
      <w:pPr>
        <w:numPr>
          <w:ilvl w:val="0"/>
          <w:numId w:val="26"/>
        </w:numPr>
        <w:spacing w:line="500" w:lineRule="exact"/>
        <w:rPr>
          <w:rFonts w:hint="default" w:ascii="Times New Roman" w:hAnsi="Times New Roman" w:eastAsia="宋体" w:cs="Times New Roman"/>
          <w:bCs/>
          <w:color w:val="auto"/>
          <w:sz w:val="28"/>
          <w:szCs w:val="28"/>
        </w:rPr>
      </w:pPr>
      <w:r>
        <w:rPr>
          <w:rFonts w:hint="eastAsia" w:ascii="Times New Roman" w:hAnsi="Times New Roman" w:eastAsia="宋体" w:cs="Times New Roman"/>
          <w:bCs/>
          <w:color w:val="auto"/>
          <w:sz w:val="28"/>
          <w:szCs w:val="28"/>
          <w:lang w:val="en-US" w:eastAsia="zh-CN"/>
        </w:rPr>
        <w:t>应急预案演练记录</w:t>
      </w:r>
    </w:p>
    <w:p>
      <w:pPr>
        <w:numPr>
          <w:ilvl w:val="0"/>
          <w:numId w:val="26"/>
        </w:numPr>
        <w:spacing w:line="500" w:lineRule="exact"/>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rPr>
        <w:t>总平面布置图</w:t>
      </w:r>
    </w:p>
    <w:p>
      <w:pPr>
        <w:pStyle w:val="71"/>
        <w:numPr>
          <w:ilvl w:val="0"/>
          <w:numId w:val="0"/>
        </w:numPr>
        <w:spacing w:line="360" w:lineRule="auto"/>
        <w:ind w:leftChars="0"/>
        <w:rPr>
          <w:rFonts w:hint="default" w:ascii="宋体" w:hAnsi="宋体" w:eastAsia="宋体" w:cs="宋体"/>
          <w:bCs/>
          <w:caps/>
          <w:color w:val="000000"/>
          <w:sz w:val="28"/>
          <w:szCs w:val="28"/>
          <w:lang w:val="en-US" w:eastAsia="zh-CN"/>
        </w:rPr>
      </w:pPr>
    </w:p>
    <w:sectPr>
      <w:pgSz w:w="11906" w:h="16838"/>
      <w:pgMar w:top="1418" w:right="1208" w:bottom="1134" w:left="1588" w:header="851" w:footer="794"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0"/>
        <w:left w:val="none" w:color="auto" w:sz="0" w:space="0"/>
        <w:bottom w:val="none" w:color="auto" w:sz="0" w:space="0"/>
        <w:right w:val="none" w:color="auto" w:sz="0" w:space="0"/>
        <w:between w:val="none" w:color="auto" w:sz="0" w:space="0"/>
      </w:pBdr>
      <w:ind w:firstLine="6090" w:firstLineChars="2900"/>
      <w:rPr>
        <w:rFonts w:hint="eastAsia" w:eastAsia="宋体"/>
        <w:sz w:val="21"/>
        <w:szCs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margin">
                <wp:posOffset>1943100</wp:posOffset>
              </wp:positionH>
              <wp:positionV relativeFrom="paragraph">
                <wp:posOffset>-32385</wp:posOffset>
              </wp:positionV>
              <wp:extent cx="1841500" cy="191770"/>
              <wp:effectExtent l="0" t="0" r="0" b="0"/>
              <wp:wrapNone/>
              <wp:docPr id="110" name="文本框 2055"/>
              <wp:cNvGraphicFramePr/>
              <a:graphic xmlns:a="http://schemas.openxmlformats.org/drawingml/2006/main">
                <a:graphicData uri="http://schemas.microsoft.com/office/word/2010/wordprocessingShape">
                  <wps:wsp>
                    <wps:cNvSpPr txBox="1"/>
                    <wps:spPr>
                      <a:xfrm>
                        <a:off x="0" y="0"/>
                        <a:ext cx="1841500" cy="191770"/>
                      </a:xfrm>
                      <a:prstGeom prst="rect">
                        <a:avLst/>
                      </a:prstGeom>
                      <a:noFill/>
                      <a:ln>
                        <a:noFill/>
                      </a:ln>
                    </wps:spPr>
                    <wps:txbx>
                      <w:txbxContent>
                        <w:p>
                          <w:pPr>
                            <w:pStyle w:val="26"/>
                            <w:jc w:val="center"/>
                            <w:rPr>
                              <w:rFonts w:hint="eastAsia" w:ascii="宋体" w:hAnsi="宋体" w:eastAsia="宋体" w:cs="宋体"/>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p>
                      </w:txbxContent>
                    </wps:txbx>
                    <wps:bodyPr vert="horz" wrap="square" lIns="0" tIns="0" rIns="0" bIns="0" anchor="t" anchorCtr="0" upright="0">
                      <a:noAutofit/>
                    </wps:bodyPr>
                  </wps:wsp>
                </a:graphicData>
              </a:graphic>
            </wp:anchor>
          </w:drawing>
        </mc:Choice>
        <mc:Fallback>
          <w:pict>
            <v:shape id="文本框 2055" o:spid="_x0000_s1026" o:spt="202" type="#_x0000_t202" style="position:absolute;left:0pt;margin-left:153pt;margin-top:-2.55pt;height:15.1pt;width:145pt;mso-position-horizontal-relative:margin;z-index:251660288;mso-width-relative:page;mso-height-relative:page;" filled="f" stroked="f" coordsize="21600,21600" o:gfxdata="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3meibY&#10;AAAACQEAAA8AAAAAAAAAAQAgAAAAIgAAAGRycy9kb3ducmV2LnhtbFBLAQIUABQAAAAIAIdO4kD1&#10;zj535wEAAMQDAAAOAAAAAAAAAAEAIAAAACcBAABkcnMvZTJvRG9jLnhtbFBLBQYAAAAABgAGAFkB&#10;AACABQAAAAA=&#10;">
              <v:fill on="f" focussize="0,0"/>
              <v:stroke on="f"/>
              <v:imagedata o:title=""/>
              <o:lock v:ext="edit" aspectratio="f"/>
              <v:textbox inset="0mm,0mm,0mm,0mm">
                <w:txbxContent>
                  <w:p>
                    <w:pPr>
                      <w:pStyle w:val="26"/>
                      <w:jc w:val="center"/>
                      <w:rPr>
                        <w:rFonts w:hint="eastAsia" w:ascii="宋体" w:hAnsi="宋体" w:eastAsia="宋体" w:cs="宋体"/>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p>
                </w:txbxContent>
              </v:textbox>
            </v:shape>
          </w:pict>
        </mc:Fallback>
      </mc:AlternateContent>
    </w:r>
    <w:r>
      <w:rPr>
        <w:rFonts w:hint="eastAsia"/>
        <w:sz w:val="21"/>
        <w:szCs w:val="21"/>
        <w:lang w:eastAsia="zh-CN"/>
      </w:rPr>
      <w:t>大连百悦安全技术服务有限公司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top w:val="none" w:color="auto" w:sz="0" w:space="0"/>
        <w:left w:val="none" w:color="auto" w:sz="0" w:space="0"/>
        <w:bottom w:val="none" w:color="auto" w:sz="0" w:space="0"/>
        <w:right w:val="none" w:color="auto" w:sz="0" w:space="0"/>
      </w:pBdr>
      <w:jc w:val="center"/>
      <w:rPr>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top w:val="none" w:color="auto" w:sz="0" w:space="0"/>
        <w:left w:val="none" w:color="auto" w:sz="0" w:space="0"/>
        <w:bottom w:val="none" w:color="auto" w:sz="0" w:space="0"/>
        <w:right w:val="none" w:color="auto" w:sz="0" w:space="0"/>
      </w:pBdr>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top w:val="none" w:color="auto" w:sz="0" w:space="0"/>
        <w:left w:val="none" w:color="auto" w:sz="0" w:space="0"/>
        <w:bottom w:val="single" w:color="auto" w:sz="4" w:space="1"/>
        <w:right w:val="none" w:color="auto" w:sz="0" w:space="0"/>
      </w:pBdr>
      <w:jc w:val="center"/>
      <w:rPr>
        <w:sz w:val="21"/>
        <w:szCs w:val="21"/>
      </w:rPr>
    </w:pPr>
    <w:r>
      <w:rPr>
        <w:rFonts w:hint="eastAsia" w:ascii="宋体" w:hAnsi="宋体"/>
        <w:sz w:val="21"/>
        <w:szCs w:val="21"/>
        <w:lang w:eastAsia="zh-CN"/>
      </w:rPr>
      <w:t>黑山鸿泰化工有限公司</w:t>
    </w:r>
    <w:r>
      <w:rPr>
        <w:rFonts w:hint="eastAsia" w:ascii="宋体" w:hAnsi="宋体"/>
        <w:sz w:val="21"/>
        <w:szCs w:val="21"/>
      </w:rPr>
      <w:t>安全评价报告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CB604"/>
    <w:multiLevelType w:val="multilevel"/>
    <w:tmpl w:val="85ECB604"/>
    <w:lvl w:ilvl="0" w:tentative="0">
      <w:start w:val="1"/>
      <w:numFmt w:val="decimal"/>
      <w:lvlText w:val="%1."/>
      <w:lvlJc w:val="left"/>
      <w:pPr>
        <w:tabs>
          <w:tab w:val="left" w:pos="434"/>
        </w:tabs>
        <w:ind w:left="434" w:hanging="361"/>
      </w:pPr>
      <w:rPr>
        <w:rFonts w:hint="default" w:cs="Times New Roman"/>
        <w:sz w:val="21"/>
        <w:szCs w:val="21"/>
      </w:rPr>
    </w:lvl>
    <w:lvl w:ilvl="1" w:tentative="0">
      <w:start w:val="1"/>
      <w:numFmt w:val="lowerLetter"/>
      <w:lvlText w:val="%2)"/>
      <w:lvlJc w:val="left"/>
      <w:pPr>
        <w:tabs>
          <w:tab w:val="left" w:pos="974"/>
        </w:tabs>
        <w:ind w:left="974" w:hanging="420"/>
      </w:pPr>
      <w:rPr>
        <w:rFonts w:cs="Times New Roman"/>
      </w:rPr>
    </w:lvl>
    <w:lvl w:ilvl="2" w:tentative="0">
      <w:start w:val="1"/>
      <w:numFmt w:val="lowerRoman"/>
      <w:lvlText w:val="%3."/>
      <w:lvlJc w:val="right"/>
      <w:pPr>
        <w:tabs>
          <w:tab w:val="left" w:pos="1394"/>
        </w:tabs>
        <w:ind w:left="1394" w:hanging="420"/>
      </w:pPr>
      <w:rPr>
        <w:rFonts w:cs="Times New Roman"/>
      </w:rPr>
    </w:lvl>
    <w:lvl w:ilvl="3" w:tentative="0">
      <w:start w:val="1"/>
      <w:numFmt w:val="decimal"/>
      <w:lvlText w:val="%4."/>
      <w:lvlJc w:val="left"/>
      <w:pPr>
        <w:tabs>
          <w:tab w:val="left" w:pos="1814"/>
        </w:tabs>
        <w:ind w:left="1814" w:hanging="420"/>
      </w:pPr>
      <w:rPr>
        <w:rFonts w:cs="Times New Roman"/>
      </w:rPr>
    </w:lvl>
    <w:lvl w:ilvl="4" w:tentative="0">
      <w:start w:val="1"/>
      <w:numFmt w:val="lowerLetter"/>
      <w:lvlText w:val="%5)"/>
      <w:lvlJc w:val="left"/>
      <w:pPr>
        <w:tabs>
          <w:tab w:val="left" w:pos="2234"/>
        </w:tabs>
        <w:ind w:left="2234" w:hanging="420"/>
      </w:pPr>
      <w:rPr>
        <w:rFonts w:cs="Times New Roman"/>
      </w:rPr>
    </w:lvl>
    <w:lvl w:ilvl="5" w:tentative="0">
      <w:start w:val="1"/>
      <w:numFmt w:val="lowerRoman"/>
      <w:lvlText w:val="%6."/>
      <w:lvlJc w:val="right"/>
      <w:pPr>
        <w:tabs>
          <w:tab w:val="left" w:pos="2654"/>
        </w:tabs>
        <w:ind w:left="2654" w:hanging="420"/>
      </w:pPr>
      <w:rPr>
        <w:rFonts w:cs="Times New Roman"/>
      </w:rPr>
    </w:lvl>
    <w:lvl w:ilvl="6" w:tentative="0">
      <w:start w:val="1"/>
      <w:numFmt w:val="decimal"/>
      <w:lvlText w:val="%7."/>
      <w:lvlJc w:val="left"/>
      <w:pPr>
        <w:tabs>
          <w:tab w:val="left" w:pos="3074"/>
        </w:tabs>
        <w:ind w:left="3074" w:hanging="420"/>
      </w:pPr>
      <w:rPr>
        <w:rFonts w:cs="Times New Roman"/>
      </w:rPr>
    </w:lvl>
    <w:lvl w:ilvl="7" w:tentative="0">
      <w:start w:val="1"/>
      <w:numFmt w:val="lowerLetter"/>
      <w:lvlText w:val="%8)"/>
      <w:lvlJc w:val="left"/>
      <w:pPr>
        <w:tabs>
          <w:tab w:val="left" w:pos="3494"/>
        </w:tabs>
        <w:ind w:left="3494" w:hanging="420"/>
      </w:pPr>
      <w:rPr>
        <w:rFonts w:cs="Times New Roman"/>
      </w:rPr>
    </w:lvl>
    <w:lvl w:ilvl="8" w:tentative="0">
      <w:start w:val="1"/>
      <w:numFmt w:val="lowerRoman"/>
      <w:lvlText w:val="%9."/>
      <w:lvlJc w:val="right"/>
      <w:pPr>
        <w:tabs>
          <w:tab w:val="left" w:pos="3914"/>
        </w:tabs>
        <w:ind w:left="3914" w:hanging="420"/>
      </w:pPr>
      <w:rPr>
        <w:rFonts w:cs="Times New Roman"/>
      </w:rPr>
    </w:lvl>
  </w:abstractNum>
  <w:abstractNum w:abstractNumId="1">
    <w:nsid w:val="8F79D612"/>
    <w:multiLevelType w:val="singleLevel"/>
    <w:tmpl w:val="8F79D612"/>
    <w:lvl w:ilvl="0" w:tentative="0">
      <w:start w:val="1"/>
      <w:numFmt w:val="decimal"/>
      <w:lvlText w:val="%1."/>
      <w:lvlJc w:val="left"/>
      <w:pPr>
        <w:ind w:left="425" w:hanging="323"/>
      </w:pPr>
      <w:rPr>
        <w:rFonts w:hint="default"/>
        <w:sz w:val="21"/>
        <w:szCs w:val="21"/>
      </w:rPr>
    </w:lvl>
  </w:abstractNum>
  <w:abstractNum w:abstractNumId="2">
    <w:nsid w:val="951256D9"/>
    <w:multiLevelType w:val="singleLevel"/>
    <w:tmpl w:val="951256D9"/>
    <w:lvl w:ilvl="0" w:tentative="0">
      <w:start w:val="1"/>
      <w:numFmt w:val="decimal"/>
      <w:suff w:val="nothing"/>
      <w:lvlText w:val="（%1）"/>
      <w:lvlJc w:val="left"/>
      <w:rPr>
        <w:rFonts w:hint="default"/>
        <w:sz w:val="28"/>
        <w:szCs w:val="28"/>
      </w:rPr>
    </w:lvl>
  </w:abstractNum>
  <w:abstractNum w:abstractNumId="3">
    <w:nsid w:val="A0D5798C"/>
    <w:multiLevelType w:val="singleLevel"/>
    <w:tmpl w:val="A0D5798C"/>
    <w:lvl w:ilvl="0" w:tentative="0">
      <w:start w:val="1"/>
      <w:numFmt w:val="decimal"/>
      <w:suff w:val="nothing"/>
      <w:lvlText w:val="%1．"/>
      <w:lvlJc w:val="left"/>
      <w:pPr>
        <w:ind w:left="0" w:firstLine="76"/>
      </w:pPr>
      <w:rPr>
        <w:rFonts w:hint="default"/>
        <w:sz w:val="21"/>
        <w:szCs w:val="21"/>
      </w:rPr>
    </w:lvl>
  </w:abstractNum>
  <w:abstractNum w:abstractNumId="4">
    <w:nsid w:val="A48EBD03"/>
    <w:multiLevelType w:val="singleLevel"/>
    <w:tmpl w:val="A48EBD03"/>
    <w:lvl w:ilvl="0" w:tentative="0">
      <w:start w:val="1"/>
      <w:numFmt w:val="decimal"/>
      <w:lvlText w:val="%1."/>
      <w:lvlJc w:val="left"/>
      <w:pPr>
        <w:ind w:left="425" w:hanging="348"/>
      </w:pPr>
      <w:rPr>
        <w:rFonts w:hint="default" w:ascii="Times New Roman" w:hAnsi="Times New Roman" w:cs="Times New Roman"/>
        <w:sz w:val="21"/>
        <w:szCs w:val="21"/>
      </w:rPr>
    </w:lvl>
  </w:abstractNum>
  <w:abstractNum w:abstractNumId="5">
    <w:nsid w:val="B88FBD00"/>
    <w:multiLevelType w:val="singleLevel"/>
    <w:tmpl w:val="B88FBD00"/>
    <w:lvl w:ilvl="0" w:tentative="0">
      <w:start w:val="1"/>
      <w:numFmt w:val="decimal"/>
      <w:lvlText w:val="%1."/>
      <w:lvlJc w:val="left"/>
      <w:pPr>
        <w:ind w:left="425" w:hanging="303"/>
      </w:pPr>
      <w:rPr>
        <w:rFonts w:hint="default" w:ascii="Times New Roman" w:hAnsi="Times New Roman" w:cs="Times New Roman"/>
        <w:sz w:val="21"/>
        <w:szCs w:val="21"/>
      </w:rPr>
    </w:lvl>
  </w:abstractNum>
  <w:abstractNum w:abstractNumId="6">
    <w:nsid w:val="E36563F2"/>
    <w:multiLevelType w:val="singleLevel"/>
    <w:tmpl w:val="E36563F2"/>
    <w:lvl w:ilvl="0" w:tentative="0">
      <w:start w:val="1"/>
      <w:numFmt w:val="decimal"/>
      <w:suff w:val="nothing"/>
      <w:lvlText w:val="（%1）"/>
      <w:lvlJc w:val="left"/>
      <w:rPr>
        <w:rFonts w:hint="default"/>
        <w:sz w:val="28"/>
        <w:szCs w:val="28"/>
      </w:rPr>
    </w:lvl>
  </w:abstractNum>
  <w:abstractNum w:abstractNumId="7">
    <w:nsid w:val="ED9E4DB9"/>
    <w:multiLevelType w:val="multilevel"/>
    <w:tmpl w:val="ED9E4DB9"/>
    <w:lvl w:ilvl="0" w:tentative="0">
      <w:start w:val="1"/>
      <w:numFmt w:val="decimal"/>
      <w:lvlText w:val="%1"/>
      <w:lvlJc w:val="left"/>
      <w:pPr>
        <w:tabs>
          <w:tab w:val="left" w:pos="420"/>
        </w:tabs>
        <w:ind w:left="420" w:hanging="320"/>
      </w:pPr>
      <w:rPr>
        <w:rFonts w:hint="default" w:ascii="Times New Roman" w:hAnsi="Times New Roman" w:cs="Times New Roman"/>
        <w:color w:val="auto"/>
        <w:sz w:val="21"/>
        <w:szCs w:val="21"/>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F4D80165"/>
    <w:multiLevelType w:val="singleLevel"/>
    <w:tmpl w:val="F4D80165"/>
    <w:lvl w:ilvl="0" w:tentative="0">
      <w:start w:val="1"/>
      <w:numFmt w:val="decimal"/>
      <w:suff w:val="nothing"/>
      <w:lvlText w:val="（%1）"/>
      <w:lvlJc w:val="left"/>
      <w:rPr>
        <w:rFonts w:hint="default"/>
        <w:sz w:val="28"/>
        <w:szCs w:val="28"/>
      </w:rPr>
    </w:lvl>
  </w:abstractNum>
  <w:abstractNum w:abstractNumId="9">
    <w:nsid w:val="06087E0B"/>
    <w:multiLevelType w:val="multilevel"/>
    <w:tmpl w:val="06087E0B"/>
    <w:lvl w:ilvl="0" w:tentative="0">
      <w:start w:val="1"/>
      <w:numFmt w:val="decimal"/>
      <w:lvlText w:val="（%1）"/>
      <w:lvlJc w:val="left"/>
      <w:pPr>
        <w:tabs>
          <w:tab w:val="left" w:pos="900"/>
        </w:tabs>
        <w:ind w:left="720" w:hanging="720"/>
      </w:pPr>
      <w:rPr>
        <w:rFonts w:hint="default"/>
        <w:lang w:val="en-US"/>
      </w:rPr>
    </w:lvl>
    <w:lvl w:ilvl="1" w:tentative="0">
      <w:start w:val="1"/>
      <w:numFmt w:val="lowerLetter"/>
      <w:lvlText w:val="%2)"/>
      <w:lvlJc w:val="left"/>
      <w:pPr>
        <w:tabs>
          <w:tab w:val="left" w:pos="1020"/>
        </w:tabs>
        <w:ind w:left="810" w:hanging="420"/>
      </w:pPr>
    </w:lvl>
    <w:lvl w:ilvl="2" w:tentative="0">
      <w:start w:val="1"/>
      <w:numFmt w:val="lowerRoman"/>
      <w:lvlText w:val="%3."/>
      <w:lvlJc w:val="right"/>
      <w:pPr>
        <w:tabs>
          <w:tab w:val="left" w:pos="1440"/>
        </w:tabs>
        <w:ind w:left="1230" w:hanging="420"/>
      </w:pPr>
    </w:lvl>
    <w:lvl w:ilvl="3" w:tentative="0">
      <w:start w:val="1"/>
      <w:numFmt w:val="decimal"/>
      <w:lvlText w:val="%4."/>
      <w:lvlJc w:val="left"/>
      <w:pPr>
        <w:tabs>
          <w:tab w:val="left" w:pos="1860"/>
        </w:tabs>
        <w:ind w:left="1650" w:hanging="420"/>
      </w:pPr>
    </w:lvl>
    <w:lvl w:ilvl="4" w:tentative="0">
      <w:start w:val="1"/>
      <w:numFmt w:val="lowerLetter"/>
      <w:lvlText w:val="%5)"/>
      <w:lvlJc w:val="left"/>
      <w:pPr>
        <w:tabs>
          <w:tab w:val="left" w:pos="2280"/>
        </w:tabs>
        <w:ind w:left="2070" w:hanging="420"/>
      </w:pPr>
    </w:lvl>
    <w:lvl w:ilvl="5" w:tentative="0">
      <w:start w:val="1"/>
      <w:numFmt w:val="lowerRoman"/>
      <w:lvlText w:val="%6."/>
      <w:lvlJc w:val="right"/>
      <w:pPr>
        <w:tabs>
          <w:tab w:val="left" w:pos="2700"/>
        </w:tabs>
        <w:ind w:left="2490" w:hanging="420"/>
      </w:pPr>
    </w:lvl>
    <w:lvl w:ilvl="6" w:tentative="0">
      <w:start w:val="1"/>
      <w:numFmt w:val="decimal"/>
      <w:lvlText w:val="%7."/>
      <w:lvlJc w:val="left"/>
      <w:pPr>
        <w:tabs>
          <w:tab w:val="left" w:pos="3120"/>
        </w:tabs>
        <w:ind w:left="2910" w:hanging="420"/>
      </w:pPr>
    </w:lvl>
    <w:lvl w:ilvl="7" w:tentative="0">
      <w:start w:val="1"/>
      <w:numFmt w:val="lowerLetter"/>
      <w:lvlText w:val="%8)"/>
      <w:lvlJc w:val="left"/>
      <w:pPr>
        <w:tabs>
          <w:tab w:val="left" w:pos="3540"/>
        </w:tabs>
        <w:ind w:left="3330" w:hanging="420"/>
      </w:pPr>
    </w:lvl>
    <w:lvl w:ilvl="8" w:tentative="0">
      <w:start w:val="1"/>
      <w:numFmt w:val="lowerRoman"/>
      <w:lvlText w:val="%9."/>
      <w:lvlJc w:val="right"/>
      <w:pPr>
        <w:tabs>
          <w:tab w:val="left" w:pos="3960"/>
        </w:tabs>
        <w:ind w:left="3750" w:hanging="420"/>
      </w:pPr>
    </w:lvl>
  </w:abstractNum>
  <w:abstractNum w:abstractNumId="10">
    <w:nsid w:val="06C8F8E2"/>
    <w:multiLevelType w:val="singleLevel"/>
    <w:tmpl w:val="06C8F8E2"/>
    <w:lvl w:ilvl="0" w:tentative="0">
      <w:start w:val="1"/>
      <w:numFmt w:val="decimal"/>
      <w:suff w:val="nothing"/>
      <w:lvlText w:val="（%1）"/>
      <w:lvlJc w:val="left"/>
      <w:rPr>
        <w:rFonts w:hint="default" w:ascii="Times New Roman" w:hAnsi="Times New Roman" w:cs="Times New Roman"/>
        <w:sz w:val="28"/>
        <w:szCs w:val="28"/>
      </w:rPr>
    </w:lvl>
  </w:abstractNum>
  <w:abstractNum w:abstractNumId="11">
    <w:nsid w:val="117F9970"/>
    <w:multiLevelType w:val="singleLevel"/>
    <w:tmpl w:val="117F9970"/>
    <w:lvl w:ilvl="0" w:tentative="0">
      <w:start w:val="1"/>
      <w:numFmt w:val="decimal"/>
      <w:suff w:val="nothing"/>
      <w:lvlText w:val="%1．"/>
      <w:lvlJc w:val="left"/>
      <w:pPr>
        <w:ind w:left="0" w:firstLine="400"/>
      </w:pPr>
      <w:rPr>
        <w:rFonts w:hint="default"/>
      </w:rPr>
    </w:lvl>
  </w:abstractNum>
  <w:abstractNum w:abstractNumId="12">
    <w:nsid w:val="201B1F68"/>
    <w:multiLevelType w:val="singleLevel"/>
    <w:tmpl w:val="201B1F68"/>
    <w:lvl w:ilvl="0" w:tentative="0">
      <w:start w:val="1"/>
      <w:numFmt w:val="decimal"/>
      <w:suff w:val="nothing"/>
      <w:lvlText w:val="%1．"/>
      <w:lvlJc w:val="left"/>
      <w:pPr>
        <w:ind w:left="0" w:firstLine="400"/>
      </w:pPr>
      <w:rPr>
        <w:rFonts w:hint="default"/>
      </w:rPr>
    </w:lvl>
  </w:abstractNum>
  <w:abstractNum w:abstractNumId="13">
    <w:nsid w:val="2980588E"/>
    <w:multiLevelType w:val="multilevel"/>
    <w:tmpl w:val="2980588E"/>
    <w:lvl w:ilvl="0" w:tentative="0">
      <w:start w:val="1"/>
      <w:numFmt w:val="decimal"/>
      <w:lvlText w:val="%1"/>
      <w:lvlJc w:val="left"/>
      <w:pPr>
        <w:tabs>
          <w:tab w:val="left" w:pos="480"/>
        </w:tabs>
        <w:ind w:left="480" w:hanging="377"/>
      </w:pPr>
      <w:rPr>
        <w:rFonts w:hint="default" w:ascii="Times New Roman" w:hAnsi="Times New Roman" w:cs="Times New Roman"/>
        <w:sz w:val="21"/>
        <w:szCs w:val="21"/>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4">
    <w:nsid w:val="2F7778D6"/>
    <w:multiLevelType w:val="multilevel"/>
    <w:tmpl w:val="2F7778D6"/>
    <w:lvl w:ilvl="0" w:tentative="0">
      <w:start w:val="1"/>
      <w:numFmt w:val="decimal"/>
      <w:pStyle w:val="3"/>
      <w:lvlText w:val="%1."/>
      <w:lvlJc w:val="left"/>
      <w:pPr>
        <w:ind w:left="432" w:hanging="432"/>
      </w:pPr>
      <w:rPr>
        <w:rFonts w:hint="default"/>
      </w:rPr>
    </w:lvl>
    <w:lvl w:ilvl="1" w:tentative="0">
      <w:start w:val="3"/>
      <w:numFmt w:val="decimal"/>
      <w:pStyle w:val="4"/>
      <w:lvlText w:val="%1.%2."/>
      <w:lvlJc w:val="left"/>
      <w:pPr>
        <w:ind w:left="575" w:hanging="575"/>
      </w:pPr>
      <w:rPr>
        <w:rFonts w:hint="default" w:ascii="宋体" w:hAnsi="宋体" w:eastAsia="宋体" w:cs="宋体"/>
      </w:rPr>
    </w:lvl>
    <w:lvl w:ilvl="2" w:tentative="0">
      <w:start w:val="1"/>
      <w:numFmt w:val="decimal"/>
      <w:pStyle w:val="5"/>
      <w:lvlText w:val="%1.%2.%3."/>
      <w:lvlJc w:val="left"/>
      <w:pPr>
        <w:ind w:left="720" w:hanging="720"/>
      </w:pPr>
      <w:rPr>
        <w:rFonts w:hint="default" w:ascii="Times New Roman" w:hAnsi="Times New Roman" w:cs="Times New Roman"/>
        <w:sz w:val="28"/>
        <w:szCs w:val="28"/>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15">
    <w:nsid w:val="2FCB3A51"/>
    <w:multiLevelType w:val="singleLevel"/>
    <w:tmpl w:val="2FCB3A51"/>
    <w:lvl w:ilvl="0" w:tentative="0">
      <w:start w:val="1"/>
      <w:numFmt w:val="decimal"/>
      <w:suff w:val="nothing"/>
      <w:lvlText w:val="（%1）"/>
      <w:lvlJc w:val="left"/>
      <w:rPr>
        <w:rFonts w:hint="default"/>
        <w:sz w:val="28"/>
        <w:szCs w:val="28"/>
      </w:rPr>
    </w:lvl>
  </w:abstractNum>
  <w:abstractNum w:abstractNumId="16">
    <w:nsid w:val="36EF9A24"/>
    <w:multiLevelType w:val="singleLevel"/>
    <w:tmpl w:val="36EF9A24"/>
    <w:lvl w:ilvl="0" w:tentative="0">
      <w:start w:val="1"/>
      <w:numFmt w:val="decimal"/>
      <w:lvlText w:val="%1."/>
      <w:lvlJc w:val="left"/>
      <w:pPr>
        <w:ind w:left="425" w:hanging="343"/>
      </w:pPr>
      <w:rPr>
        <w:rFonts w:hint="default"/>
        <w:sz w:val="21"/>
        <w:szCs w:val="21"/>
      </w:rPr>
    </w:lvl>
  </w:abstractNum>
  <w:abstractNum w:abstractNumId="17">
    <w:nsid w:val="3D910D45"/>
    <w:multiLevelType w:val="multilevel"/>
    <w:tmpl w:val="3D910D45"/>
    <w:lvl w:ilvl="0" w:tentative="0">
      <w:start w:val="1"/>
      <w:numFmt w:val="decimal"/>
      <w:lvlText w:val="%1."/>
      <w:lvlJc w:val="left"/>
      <w:pPr>
        <w:ind w:left="425" w:hanging="425"/>
      </w:pPr>
      <w:rPr>
        <w:rFonts w:hint="default" w:ascii="Times New Roman" w:hAnsi="Times New Roman" w:cs="Times New Roman"/>
        <w:sz w:val="32"/>
        <w:szCs w:val="32"/>
      </w:rPr>
    </w:lvl>
    <w:lvl w:ilvl="1" w:tentative="0">
      <w:start w:val="1"/>
      <w:numFmt w:val="decimal"/>
      <w:lvlText w:val="%1.%2."/>
      <w:lvlJc w:val="left"/>
      <w:pPr>
        <w:ind w:left="567" w:hanging="567"/>
      </w:pPr>
      <w:rPr>
        <w:rFonts w:hint="default" w:ascii="Times New Roman" w:hAnsi="Times New Roman" w:cs="Times New Roman"/>
        <w:sz w:val="32"/>
        <w:szCs w:val="32"/>
      </w:rPr>
    </w:lvl>
    <w:lvl w:ilvl="2" w:tentative="0">
      <w:start w:val="1"/>
      <w:numFmt w:val="decimal"/>
      <w:lvlText w:val="%1.%2.%3."/>
      <w:lvlJc w:val="left"/>
      <w:pPr>
        <w:ind w:left="709" w:hanging="709"/>
      </w:pPr>
      <w:rPr>
        <w:rFonts w:hint="default" w:ascii="Times New Roman" w:hAnsi="Times New Roman" w:cs="Times New Roman"/>
        <w:sz w:val="28"/>
        <w:szCs w:val="28"/>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8">
    <w:nsid w:val="4199504B"/>
    <w:multiLevelType w:val="multilevel"/>
    <w:tmpl w:val="4199504B"/>
    <w:lvl w:ilvl="0" w:tentative="0">
      <w:start w:val="1"/>
      <w:numFmt w:val="decimal"/>
      <w:pStyle w:val="72"/>
      <w:lvlText w:val="(%1)"/>
      <w:lvlJc w:val="left"/>
      <w:pPr>
        <w:tabs>
          <w:tab w:val="left" w:pos="1410"/>
        </w:tabs>
        <w:ind w:left="141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48FD790B"/>
    <w:multiLevelType w:val="singleLevel"/>
    <w:tmpl w:val="48FD790B"/>
    <w:lvl w:ilvl="0" w:tentative="0">
      <w:start w:val="1"/>
      <w:numFmt w:val="decimal"/>
      <w:suff w:val="nothing"/>
      <w:lvlText w:val="%1．"/>
      <w:lvlJc w:val="left"/>
      <w:pPr>
        <w:ind w:left="0" w:firstLine="400"/>
      </w:pPr>
      <w:rPr>
        <w:rFonts w:hint="default"/>
      </w:rPr>
    </w:lvl>
  </w:abstractNum>
  <w:abstractNum w:abstractNumId="20">
    <w:nsid w:val="5AA46D46"/>
    <w:multiLevelType w:val="singleLevel"/>
    <w:tmpl w:val="5AA46D46"/>
    <w:lvl w:ilvl="0" w:tentative="0">
      <w:start w:val="2"/>
      <w:numFmt w:val="decimal"/>
      <w:suff w:val="nothing"/>
      <w:lvlText w:val="（%1）"/>
      <w:lvlJc w:val="left"/>
    </w:lvl>
  </w:abstractNum>
  <w:abstractNum w:abstractNumId="21">
    <w:nsid w:val="6092777C"/>
    <w:multiLevelType w:val="singleLevel"/>
    <w:tmpl w:val="6092777C"/>
    <w:lvl w:ilvl="0" w:tentative="0">
      <w:start w:val="1"/>
      <w:numFmt w:val="decimal"/>
      <w:suff w:val="nothing"/>
      <w:lvlText w:val="（%1）"/>
      <w:lvlJc w:val="left"/>
      <w:rPr>
        <w:rFonts w:hint="default" w:ascii="Times New Roman" w:hAnsi="Times New Roman" w:cs="Times New Roman"/>
        <w:sz w:val="28"/>
        <w:szCs w:val="28"/>
      </w:rPr>
    </w:lvl>
  </w:abstractNum>
  <w:abstractNum w:abstractNumId="22">
    <w:nsid w:val="61EB6FB0"/>
    <w:multiLevelType w:val="singleLevel"/>
    <w:tmpl w:val="61EB6FB0"/>
    <w:lvl w:ilvl="0" w:tentative="0">
      <w:start w:val="1"/>
      <w:numFmt w:val="decimal"/>
      <w:lvlText w:val="%1."/>
      <w:lvlJc w:val="left"/>
      <w:pPr>
        <w:ind w:left="425" w:hanging="364"/>
      </w:pPr>
      <w:rPr>
        <w:rFonts w:hint="default" w:ascii="Times New Roman" w:hAnsi="Times New Roman" w:cs="Times New Roman"/>
        <w:sz w:val="21"/>
        <w:szCs w:val="21"/>
      </w:rPr>
    </w:lvl>
  </w:abstractNum>
  <w:abstractNum w:abstractNumId="23">
    <w:nsid w:val="64D74C79"/>
    <w:multiLevelType w:val="singleLevel"/>
    <w:tmpl w:val="64D74C79"/>
    <w:lvl w:ilvl="0" w:tentative="0">
      <w:start w:val="1"/>
      <w:numFmt w:val="decimal"/>
      <w:lvlText w:val="%1."/>
      <w:lvlJc w:val="left"/>
      <w:pPr>
        <w:ind w:left="454" w:hanging="384"/>
      </w:pPr>
      <w:rPr>
        <w:rFonts w:hint="default"/>
        <w:sz w:val="21"/>
        <w:szCs w:val="21"/>
      </w:rPr>
    </w:lvl>
  </w:abstractNum>
  <w:abstractNum w:abstractNumId="24">
    <w:nsid w:val="72B533BF"/>
    <w:multiLevelType w:val="singleLevel"/>
    <w:tmpl w:val="72B533BF"/>
    <w:lvl w:ilvl="0" w:tentative="0">
      <w:start w:val="1"/>
      <w:numFmt w:val="decimal"/>
      <w:lvlText w:val="%1."/>
      <w:lvlJc w:val="left"/>
      <w:pPr>
        <w:ind w:left="425" w:hanging="325"/>
      </w:pPr>
      <w:rPr>
        <w:rFonts w:hint="default" w:ascii="Times New Roman" w:hAnsi="Times New Roman" w:cs="Times New Roman"/>
        <w:sz w:val="21"/>
        <w:szCs w:val="21"/>
      </w:rPr>
    </w:lvl>
  </w:abstractNum>
  <w:abstractNum w:abstractNumId="25">
    <w:nsid w:val="788EE110"/>
    <w:multiLevelType w:val="singleLevel"/>
    <w:tmpl w:val="788EE110"/>
    <w:lvl w:ilvl="0" w:tentative="0">
      <w:start w:val="1"/>
      <w:numFmt w:val="decimal"/>
      <w:lvlText w:val="%1."/>
      <w:lvlJc w:val="left"/>
      <w:pPr>
        <w:ind w:left="454" w:hanging="361"/>
      </w:pPr>
      <w:rPr>
        <w:rFonts w:hint="default"/>
        <w:sz w:val="21"/>
        <w:szCs w:val="21"/>
      </w:rPr>
    </w:lvl>
  </w:abstractNum>
  <w:num w:numId="1">
    <w:abstractNumId w:val="14"/>
  </w:num>
  <w:num w:numId="2">
    <w:abstractNumId w:val="18"/>
  </w:num>
  <w:num w:numId="3">
    <w:abstractNumId w:val="17"/>
  </w:num>
  <w:num w:numId="4">
    <w:abstractNumId w:val="24"/>
  </w:num>
  <w:num w:numId="5">
    <w:abstractNumId w:val="3"/>
  </w:num>
  <w:num w:numId="6">
    <w:abstractNumId w:val="4"/>
  </w:num>
  <w:num w:numId="7">
    <w:abstractNumId w:val="25"/>
  </w:num>
  <w:num w:numId="8">
    <w:abstractNumId w:val="20"/>
  </w:num>
  <w:num w:numId="9">
    <w:abstractNumId w:val="0"/>
  </w:num>
  <w:num w:numId="10">
    <w:abstractNumId w:val="1"/>
  </w:num>
  <w:num w:numId="11">
    <w:abstractNumId w:val="12"/>
  </w:num>
  <w:num w:numId="12">
    <w:abstractNumId w:val="19"/>
  </w:num>
  <w:num w:numId="13">
    <w:abstractNumId w:val="11"/>
  </w:num>
  <w:num w:numId="14">
    <w:abstractNumId w:val="5"/>
  </w:num>
  <w:num w:numId="15">
    <w:abstractNumId w:val="21"/>
  </w:num>
  <w:num w:numId="16">
    <w:abstractNumId w:val="6"/>
  </w:num>
  <w:num w:numId="17">
    <w:abstractNumId w:val="2"/>
  </w:num>
  <w:num w:numId="18">
    <w:abstractNumId w:val="8"/>
  </w:num>
  <w:num w:numId="19">
    <w:abstractNumId w:val="10"/>
  </w:num>
  <w:num w:numId="20">
    <w:abstractNumId w:val="15"/>
  </w:num>
  <w:num w:numId="21">
    <w:abstractNumId w:val="7"/>
  </w:num>
  <w:num w:numId="22">
    <w:abstractNumId w:val="22"/>
  </w:num>
  <w:num w:numId="23">
    <w:abstractNumId w:val="16"/>
  </w:num>
  <w:num w:numId="24">
    <w:abstractNumId w:val="23"/>
  </w:num>
  <w:num w:numId="25">
    <w:abstractNumId w:val="13"/>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0004855"/>
    <w:rsid w:val="00004E13"/>
    <w:rsid w:val="00011261"/>
    <w:rsid w:val="00017E70"/>
    <w:rsid w:val="000214E0"/>
    <w:rsid w:val="00043576"/>
    <w:rsid w:val="000511A4"/>
    <w:rsid w:val="00061956"/>
    <w:rsid w:val="0008523E"/>
    <w:rsid w:val="000972FF"/>
    <w:rsid w:val="000A6C01"/>
    <w:rsid w:val="000B0CB7"/>
    <w:rsid w:val="000C024B"/>
    <w:rsid w:val="000C41FE"/>
    <w:rsid w:val="000C5618"/>
    <w:rsid w:val="000C6F39"/>
    <w:rsid w:val="000E29CE"/>
    <w:rsid w:val="000E3EB2"/>
    <w:rsid w:val="000E61D3"/>
    <w:rsid w:val="00100C9D"/>
    <w:rsid w:val="00123E74"/>
    <w:rsid w:val="00130703"/>
    <w:rsid w:val="00131640"/>
    <w:rsid w:val="0013697F"/>
    <w:rsid w:val="0014773A"/>
    <w:rsid w:val="00151E1D"/>
    <w:rsid w:val="001535CE"/>
    <w:rsid w:val="001556E7"/>
    <w:rsid w:val="00155F89"/>
    <w:rsid w:val="00166818"/>
    <w:rsid w:val="00172A27"/>
    <w:rsid w:val="0017615F"/>
    <w:rsid w:val="00177BAC"/>
    <w:rsid w:val="00182193"/>
    <w:rsid w:val="001868DF"/>
    <w:rsid w:val="001A029C"/>
    <w:rsid w:val="001B0DAC"/>
    <w:rsid w:val="001B7799"/>
    <w:rsid w:val="001C5FB1"/>
    <w:rsid w:val="001D3352"/>
    <w:rsid w:val="001D39C5"/>
    <w:rsid w:val="001D567D"/>
    <w:rsid w:val="001E0CA1"/>
    <w:rsid w:val="001E0E57"/>
    <w:rsid w:val="001E3C7B"/>
    <w:rsid w:val="001E4EA5"/>
    <w:rsid w:val="001F229C"/>
    <w:rsid w:val="001F7E68"/>
    <w:rsid w:val="0021188C"/>
    <w:rsid w:val="0021466F"/>
    <w:rsid w:val="00214B38"/>
    <w:rsid w:val="00220180"/>
    <w:rsid w:val="00222E9B"/>
    <w:rsid w:val="00234BDC"/>
    <w:rsid w:val="00250EF4"/>
    <w:rsid w:val="0025172C"/>
    <w:rsid w:val="00251EA5"/>
    <w:rsid w:val="00252784"/>
    <w:rsid w:val="0026293F"/>
    <w:rsid w:val="00264746"/>
    <w:rsid w:val="002707DB"/>
    <w:rsid w:val="0027428C"/>
    <w:rsid w:val="00274684"/>
    <w:rsid w:val="0027530B"/>
    <w:rsid w:val="002821AA"/>
    <w:rsid w:val="00291DA3"/>
    <w:rsid w:val="00292445"/>
    <w:rsid w:val="0029345B"/>
    <w:rsid w:val="002B4442"/>
    <w:rsid w:val="002C27F1"/>
    <w:rsid w:val="002D53BF"/>
    <w:rsid w:val="002E3B1F"/>
    <w:rsid w:val="002F48B7"/>
    <w:rsid w:val="002F5BE1"/>
    <w:rsid w:val="002F6D37"/>
    <w:rsid w:val="002F713E"/>
    <w:rsid w:val="002F741E"/>
    <w:rsid w:val="00300F04"/>
    <w:rsid w:val="00300F73"/>
    <w:rsid w:val="00304F6D"/>
    <w:rsid w:val="003054BC"/>
    <w:rsid w:val="00306EF1"/>
    <w:rsid w:val="00307018"/>
    <w:rsid w:val="0031370C"/>
    <w:rsid w:val="00314A67"/>
    <w:rsid w:val="00317389"/>
    <w:rsid w:val="00320588"/>
    <w:rsid w:val="003209A9"/>
    <w:rsid w:val="003220D1"/>
    <w:rsid w:val="00330AF2"/>
    <w:rsid w:val="003518BB"/>
    <w:rsid w:val="00352CF4"/>
    <w:rsid w:val="00355093"/>
    <w:rsid w:val="00355585"/>
    <w:rsid w:val="00356CB7"/>
    <w:rsid w:val="00367B7F"/>
    <w:rsid w:val="00381B78"/>
    <w:rsid w:val="00383072"/>
    <w:rsid w:val="0038789A"/>
    <w:rsid w:val="00395258"/>
    <w:rsid w:val="003A6DB2"/>
    <w:rsid w:val="003A6DC7"/>
    <w:rsid w:val="003B3EC9"/>
    <w:rsid w:val="003C0558"/>
    <w:rsid w:val="003E20C3"/>
    <w:rsid w:val="003E4D1E"/>
    <w:rsid w:val="003F191E"/>
    <w:rsid w:val="003F3A59"/>
    <w:rsid w:val="00407A2F"/>
    <w:rsid w:val="004218DA"/>
    <w:rsid w:val="00424BF7"/>
    <w:rsid w:val="00424E7E"/>
    <w:rsid w:val="00425C7E"/>
    <w:rsid w:val="00434603"/>
    <w:rsid w:val="00447C6B"/>
    <w:rsid w:val="00453C2D"/>
    <w:rsid w:val="00465DE3"/>
    <w:rsid w:val="00472653"/>
    <w:rsid w:val="004A2CED"/>
    <w:rsid w:val="004A359B"/>
    <w:rsid w:val="004B3375"/>
    <w:rsid w:val="004C1A73"/>
    <w:rsid w:val="004E0ECC"/>
    <w:rsid w:val="004E1277"/>
    <w:rsid w:val="004E3947"/>
    <w:rsid w:val="004E6902"/>
    <w:rsid w:val="004F59FB"/>
    <w:rsid w:val="005059F7"/>
    <w:rsid w:val="00517D0C"/>
    <w:rsid w:val="00517DE1"/>
    <w:rsid w:val="00521734"/>
    <w:rsid w:val="00523F25"/>
    <w:rsid w:val="0054164B"/>
    <w:rsid w:val="00551533"/>
    <w:rsid w:val="00561673"/>
    <w:rsid w:val="0056746A"/>
    <w:rsid w:val="00576C0E"/>
    <w:rsid w:val="0058388C"/>
    <w:rsid w:val="0059000D"/>
    <w:rsid w:val="0059095F"/>
    <w:rsid w:val="005914CB"/>
    <w:rsid w:val="00594720"/>
    <w:rsid w:val="005A0DB0"/>
    <w:rsid w:val="005A42E7"/>
    <w:rsid w:val="005B34D4"/>
    <w:rsid w:val="005B49FC"/>
    <w:rsid w:val="005D74B6"/>
    <w:rsid w:val="005E220C"/>
    <w:rsid w:val="005F0978"/>
    <w:rsid w:val="005F1B86"/>
    <w:rsid w:val="006001C6"/>
    <w:rsid w:val="00600F53"/>
    <w:rsid w:val="00603107"/>
    <w:rsid w:val="00606D33"/>
    <w:rsid w:val="00624302"/>
    <w:rsid w:val="006256EF"/>
    <w:rsid w:val="006265AD"/>
    <w:rsid w:val="00626D37"/>
    <w:rsid w:val="00636188"/>
    <w:rsid w:val="00640DD9"/>
    <w:rsid w:val="006429C0"/>
    <w:rsid w:val="00657F36"/>
    <w:rsid w:val="006600CA"/>
    <w:rsid w:val="0066792E"/>
    <w:rsid w:val="00673221"/>
    <w:rsid w:val="006745A5"/>
    <w:rsid w:val="00682463"/>
    <w:rsid w:val="00683AF1"/>
    <w:rsid w:val="00683EE5"/>
    <w:rsid w:val="00690FCF"/>
    <w:rsid w:val="006B2A10"/>
    <w:rsid w:val="006B3DF8"/>
    <w:rsid w:val="006D2213"/>
    <w:rsid w:val="006D3296"/>
    <w:rsid w:val="006D62B5"/>
    <w:rsid w:val="006D7555"/>
    <w:rsid w:val="006D792E"/>
    <w:rsid w:val="006E3E2E"/>
    <w:rsid w:val="006E680B"/>
    <w:rsid w:val="00714C02"/>
    <w:rsid w:val="00714E2F"/>
    <w:rsid w:val="00716A14"/>
    <w:rsid w:val="007174DA"/>
    <w:rsid w:val="00717BFA"/>
    <w:rsid w:val="00717CBB"/>
    <w:rsid w:val="00731ED5"/>
    <w:rsid w:val="00737872"/>
    <w:rsid w:val="00741B66"/>
    <w:rsid w:val="00750B67"/>
    <w:rsid w:val="007567E2"/>
    <w:rsid w:val="00776DF4"/>
    <w:rsid w:val="007828A6"/>
    <w:rsid w:val="00791634"/>
    <w:rsid w:val="00792418"/>
    <w:rsid w:val="00792CE0"/>
    <w:rsid w:val="007B02D5"/>
    <w:rsid w:val="007B1513"/>
    <w:rsid w:val="007B30C1"/>
    <w:rsid w:val="007B5481"/>
    <w:rsid w:val="007B6C4F"/>
    <w:rsid w:val="007C69F3"/>
    <w:rsid w:val="007E2361"/>
    <w:rsid w:val="008000C8"/>
    <w:rsid w:val="008108D5"/>
    <w:rsid w:val="00815320"/>
    <w:rsid w:val="008153A8"/>
    <w:rsid w:val="00817807"/>
    <w:rsid w:val="00817B07"/>
    <w:rsid w:val="008230A0"/>
    <w:rsid w:val="0082390A"/>
    <w:rsid w:val="00830553"/>
    <w:rsid w:val="008318EE"/>
    <w:rsid w:val="00843876"/>
    <w:rsid w:val="00854353"/>
    <w:rsid w:val="00856ACA"/>
    <w:rsid w:val="00860C46"/>
    <w:rsid w:val="00864F33"/>
    <w:rsid w:val="00867F91"/>
    <w:rsid w:val="008725E1"/>
    <w:rsid w:val="0087469D"/>
    <w:rsid w:val="00875D91"/>
    <w:rsid w:val="00876626"/>
    <w:rsid w:val="00880586"/>
    <w:rsid w:val="00884C73"/>
    <w:rsid w:val="008851B2"/>
    <w:rsid w:val="008866E1"/>
    <w:rsid w:val="008A1955"/>
    <w:rsid w:val="008A286F"/>
    <w:rsid w:val="008A2E24"/>
    <w:rsid w:val="008B21C5"/>
    <w:rsid w:val="008B5AA9"/>
    <w:rsid w:val="008B7A50"/>
    <w:rsid w:val="008D2046"/>
    <w:rsid w:val="008D407E"/>
    <w:rsid w:val="008D53DC"/>
    <w:rsid w:val="008E5722"/>
    <w:rsid w:val="008F2790"/>
    <w:rsid w:val="00923F06"/>
    <w:rsid w:val="009255C3"/>
    <w:rsid w:val="00927332"/>
    <w:rsid w:val="00930899"/>
    <w:rsid w:val="00954DAE"/>
    <w:rsid w:val="009648FA"/>
    <w:rsid w:val="0098064A"/>
    <w:rsid w:val="009810D3"/>
    <w:rsid w:val="00992902"/>
    <w:rsid w:val="009A0C0D"/>
    <w:rsid w:val="009A5F67"/>
    <w:rsid w:val="009B0EB4"/>
    <w:rsid w:val="009C14DF"/>
    <w:rsid w:val="009C3169"/>
    <w:rsid w:val="009D27AB"/>
    <w:rsid w:val="009D2A24"/>
    <w:rsid w:val="009D5BE2"/>
    <w:rsid w:val="009D702B"/>
    <w:rsid w:val="009D76F7"/>
    <w:rsid w:val="009E28E5"/>
    <w:rsid w:val="009E4A58"/>
    <w:rsid w:val="009E7765"/>
    <w:rsid w:val="009F51DE"/>
    <w:rsid w:val="00A06324"/>
    <w:rsid w:val="00A27A6A"/>
    <w:rsid w:val="00A30D3E"/>
    <w:rsid w:val="00A351CC"/>
    <w:rsid w:val="00A35E5B"/>
    <w:rsid w:val="00A452A8"/>
    <w:rsid w:val="00A503C7"/>
    <w:rsid w:val="00A51528"/>
    <w:rsid w:val="00A53748"/>
    <w:rsid w:val="00A9510F"/>
    <w:rsid w:val="00AA65CF"/>
    <w:rsid w:val="00AB48DC"/>
    <w:rsid w:val="00AD089A"/>
    <w:rsid w:val="00AE17F0"/>
    <w:rsid w:val="00B141D5"/>
    <w:rsid w:val="00B22C35"/>
    <w:rsid w:val="00B23532"/>
    <w:rsid w:val="00B240B7"/>
    <w:rsid w:val="00B2679F"/>
    <w:rsid w:val="00B37A22"/>
    <w:rsid w:val="00B4231A"/>
    <w:rsid w:val="00B43CF7"/>
    <w:rsid w:val="00B625B6"/>
    <w:rsid w:val="00B627CA"/>
    <w:rsid w:val="00B71F65"/>
    <w:rsid w:val="00B72F9C"/>
    <w:rsid w:val="00B7436B"/>
    <w:rsid w:val="00B9043B"/>
    <w:rsid w:val="00B936B4"/>
    <w:rsid w:val="00BB3AB4"/>
    <w:rsid w:val="00BB7707"/>
    <w:rsid w:val="00BC5A4C"/>
    <w:rsid w:val="00BC69FE"/>
    <w:rsid w:val="00BE4D85"/>
    <w:rsid w:val="00BE5B5E"/>
    <w:rsid w:val="00BF0D11"/>
    <w:rsid w:val="00BF10F9"/>
    <w:rsid w:val="00BF5E42"/>
    <w:rsid w:val="00C0722D"/>
    <w:rsid w:val="00C113CC"/>
    <w:rsid w:val="00C13328"/>
    <w:rsid w:val="00C20A33"/>
    <w:rsid w:val="00C22BBB"/>
    <w:rsid w:val="00C24269"/>
    <w:rsid w:val="00C30B19"/>
    <w:rsid w:val="00C366AF"/>
    <w:rsid w:val="00C56028"/>
    <w:rsid w:val="00C6129A"/>
    <w:rsid w:val="00C66F6C"/>
    <w:rsid w:val="00C732F8"/>
    <w:rsid w:val="00C85DB5"/>
    <w:rsid w:val="00C86DCF"/>
    <w:rsid w:val="00C93066"/>
    <w:rsid w:val="00CA5460"/>
    <w:rsid w:val="00CB0154"/>
    <w:rsid w:val="00CB37BB"/>
    <w:rsid w:val="00CB512B"/>
    <w:rsid w:val="00CC1488"/>
    <w:rsid w:val="00CC4C3E"/>
    <w:rsid w:val="00CD1DB2"/>
    <w:rsid w:val="00CD32D5"/>
    <w:rsid w:val="00CE6AB4"/>
    <w:rsid w:val="00CF0749"/>
    <w:rsid w:val="00CF3DB0"/>
    <w:rsid w:val="00CF4237"/>
    <w:rsid w:val="00CF5FC5"/>
    <w:rsid w:val="00CF6393"/>
    <w:rsid w:val="00D244CF"/>
    <w:rsid w:val="00D25CDD"/>
    <w:rsid w:val="00D46367"/>
    <w:rsid w:val="00D46CED"/>
    <w:rsid w:val="00D46D58"/>
    <w:rsid w:val="00D5266F"/>
    <w:rsid w:val="00D6654D"/>
    <w:rsid w:val="00D66C83"/>
    <w:rsid w:val="00D6705F"/>
    <w:rsid w:val="00D67292"/>
    <w:rsid w:val="00D71546"/>
    <w:rsid w:val="00D75395"/>
    <w:rsid w:val="00D8096A"/>
    <w:rsid w:val="00D912E7"/>
    <w:rsid w:val="00D926C0"/>
    <w:rsid w:val="00D9388A"/>
    <w:rsid w:val="00DC198D"/>
    <w:rsid w:val="00DC19CB"/>
    <w:rsid w:val="00DC7759"/>
    <w:rsid w:val="00DD0566"/>
    <w:rsid w:val="00DD6E43"/>
    <w:rsid w:val="00DE67CC"/>
    <w:rsid w:val="00DE6D11"/>
    <w:rsid w:val="00DF1E3B"/>
    <w:rsid w:val="00E146B6"/>
    <w:rsid w:val="00E213D4"/>
    <w:rsid w:val="00E218DA"/>
    <w:rsid w:val="00E220F0"/>
    <w:rsid w:val="00E32257"/>
    <w:rsid w:val="00E32D5A"/>
    <w:rsid w:val="00E35199"/>
    <w:rsid w:val="00E40442"/>
    <w:rsid w:val="00E40A4A"/>
    <w:rsid w:val="00E40B4D"/>
    <w:rsid w:val="00E41D8D"/>
    <w:rsid w:val="00E44D55"/>
    <w:rsid w:val="00E47D65"/>
    <w:rsid w:val="00E558ED"/>
    <w:rsid w:val="00E612E8"/>
    <w:rsid w:val="00E63979"/>
    <w:rsid w:val="00E906EA"/>
    <w:rsid w:val="00E92133"/>
    <w:rsid w:val="00E96ED9"/>
    <w:rsid w:val="00E97089"/>
    <w:rsid w:val="00EA0B25"/>
    <w:rsid w:val="00EB05F2"/>
    <w:rsid w:val="00EB4CB8"/>
    <w:rsid w:val="00EB53E2"/>
    <w:rsid w:val="00ED299E"/>
    <w:rsid w:val="00ED5F72"/>
    <w:rsid w:val="00EE120F"/>
    <w:rsid w:val="00EE7B3A"/>
    <w:rsid w:val="00F057B3"/>
    <w:rsid w:val="00F06DBF"/>
    <w:rsid w:val="00F129C5"/>
    <w:rsid w:val="00F12E6F"/>
    <w:rsid w:val="00F13869"/>
    <w:rsid w:val="00F168E1"/>
    <w:rsid w:val="00F30D36"/>
    <w:rsid w:val="00F33212"/>
    <w:rsid w:val="00F42AA0"/>
    <w:rsid w:val="00F444A3"/>
    <w:rsid w:val="00F504E9"/>
    <w:rsid w:val="00F50CB9"/>
    <w:rsid w:val="00F61D21"/>
    <w:rsid w:val="00F62BCC"/>
    <w:rsid w:val="00F76F7F"/>
    <w:rsid w:val="00F8060F"/>
    <w:rsid w:val="00F84058"/>
    <w:rsid w:val="00FB1ED9"/>
    <w:rsid w:val="00FB3190"/>
    <w:rsid w:val="00FB47CC"/>
    <w:rsid w:val="00FC0220"/>
    <w:rsid w:val="00FF42F9"/>
    <w:rsid w:val="00FF652A"/>
    <w:rsid w:val="00FF7A64"/>
    <w:rsid w:val="010D71DD"/>
    <w:rsid w:val="01134270"/>
    <w:rsid w:val="01141B62"/>
    <w:rsid w:val="01155DBA"/>
    <w:rsid w:val="012E594C"/>
    <w:rsid w:val="012F5F9F"/>
    <w:rsid w:val="013849D3"/>
    <w:rsid w:val="01522069"/>
    <w:rsid w:val="01526955"/>
    <w:rsid w:val="015B0F6F"/>
    <w:rsid w:val="015E78B6"/>
    <w:rsid w:val="016D4D19"/>
    <w:rsid w:val="0188665B"/>
    <w:rsid w:val="018A7F66"/>
    <w:rsid w:val="01AC22E6"/>
    <w:rsid w:val="01B10D05"/>
    <w:rsid w:val="023140B2"/>
    <w:rsid w:val="023F2D2B"/>
    <w:rsid w:val="02427E25"/>
    <w:rsid w:val="025E7EF8"/>
    <w:rsid w:val="02650493"/>
    <w:rsid w:val="026957A6"/>
    <w:rsid w:val="026E67DA"/>
    <w:rsid w:val="027B7963"/>
    <w:rsid w:val="027E4B63"/>
    <w:rsid w:val="02A932E0"/>
    <w:rsid w:val="02F67E33"/>
    <w:rsid w:val="02F831F6"/>
    <w:rsid w:val="02F85C1E"/>
    <w:rsid w:val="02FA0C98"/>
    <w:rsid w:val="030222F3"/>
    <w:rsid w:val="030924FC"/>
    <w:rsid w:val="030A4AD9"/>
    <w:rsid w:val="030A6AE8"/>
    <w:rsid w:val="03324797"/>
    <w:rsid w:val="03380951"/>
    <w:rsid w:val="033B56D0"/>
    <w:rsid w:val="033D7BEA"/>
    <w:rsid w:val="034C6C71"/>
    <w:rsid w:val="035171EF"/>
    <w:rsid w:val="035717DD"/>
    <w:rsid w:val="0361037F"/>
    <w:rsid w:val="03664A54"/>
    <w:rsid w:val="036B14C0"/>
    <w:rsid w:val="03795BF7"/>
    <w:rsid w:val="03E71A16"/>
    <w:rsid w:val="03F80336"/>
    <w:rsid w:val="040A7D7A"/>
    <w:rsid w:val="040C154A"/>
    <w:rsid w:val="0411676F"/>
    <w:rsid w:val="041537C6"/>
    <w:rsid w:val="041B5DA6"/>
    <w:rsid w:val="04294F81"/>
    <w:rsid w:val="043134AC"/>
    <w:rsid w:val="043257C3"/>
    <w:rsid w:val="04353DC5"/>
    <w:rsid w:val="04452518"/>
    <w:rsid w:val="04541ADD"/>
    <w:rsid w:val="04597725"/>
    <w:rsid w:val="0465519A"/>
    <w:rsid w:val="047A5ACF"/>
    <w:rsid w:val="047D7569"/>
    <w:rsid w:val="04805A0B"/>
    <w:rsid w:val="04845087"/>
    <w:rsid w:val="048D7878"/>
    <w:rsid w:val="04933B17"/>
    <w:rsid w:val="049B6A64"/>
    <w:rsid w:val="04A24407"/>
    <w:rsid w:val="04AE3B99"/>
    <w:rsid w:val="04B34221"/>
    <w:rsid w:val="04C03016"/>
    <w:rsid w:val="04D61013"/>
    <w:rsid w:val="05094D59"/>
    <w:rsid w:val="050C3538"/>
    <w:rsid w:val="050E38D9"/>
    <w:rsid w:val="0514320B"/>
    <w:rsid w:val="05192390"/>
    <w:rsid w:val="0535309A"/>
    <w:rsid w:val="054425D2"/>
    <w:rsid w:val="0553313E"/>
    <w:rsid w:val="0558504A"/>
    <w:rsid w:val="056237FA"/>
    <w:rsid w:val="05644E61"/>
    <w:rsid w:val="057E7C76"/>
    <w:rsid w:val="058E0FEC"/>
    <w:rsid w:val="059A1B04"/>
    <w:rsid w:val="05C07074"/>
    <w:rsid w:val="05C5202C"/>
    <w:rsid w:val="05CB277C"/>
    <w:rsid w:val="05D62709"/>
    <w:rsid w:val="05DC0951"/>
    <w:rsid w:val="060B715F"/>
    <w:rsid w:val="060C71BF"/>
    <w:rsid w:val="060E63FC"/>
    <w:rsid w:val="060F670E"/>
    <w:rsid w:val="06305438"/>
    <w:rsid w:val="063D6E47"/>
    <w:rsid w:val="06413763"/>
    <w:rsid w:val="064D3583"/>
    <w:rsid w:val="067A79A5"/>
    <w:rsid w:val="06854D5F"/>
    <w:rsid w:val="06863D99"/>
    <w:rsid w:val="06900C33"/>
    <w:rsid w:val="069D2A29"/>
    <w:rsid w:val="06B0377B"/>
    <w:rsid w:val="06B71706"/>
    <w:rsid w:val="06D60AAC"/>
    <w:rsid w:val="06E33F11"/>
    <w:rsid w:val="06F62BAB"/>
    <w:rsid w:val="06FA58B5"/>
    <w:rsid w:val="06FB4332"/>
    <w:rsid w:val="07013929"/>
    <w:rsid w:val="070665F3"/>
    <w:rsid w:val="0707670D"/>
    <w:rsid w:val="071057D7"/>
    <w:rsid w:val="07181D94"/>
    <w:rsid w:val="07184213"/>
    <w:rsid w:val="0735792C"/>
    <w:rsid w:val="07441751"/>
    <w:rsid w:val="074862C4"/>
    <w:rsid w:val="074E6C60"/>
    <w:rsid w:val="0765084B"/>
    <w:rsid w:val="076B7F92"/>
    <w:rsid w:val="077B1445"/>
    <w:rsid w:val="0786019F"/>
    <w:rsid w:val="07932A4C"/>
    <w:rsid w:val="079E4E3B"/>
    <w:rsid w:val="07CC5E3F"/>
    <w:rsid w:val="07FF0658"/>
    <w:rsid w:val="082E3615"/>
    <w:rsid w:val="083558CD"/>
    <w:rsid w:val="083B48C3"/>
    <w:rsid w:val="0841325E"/>
    <w:rsid w:val="08417068"/>
    <w:rsid w:val="0842480A"/>
    <w:rsid w:val="084310C0"/>
    <w:rsid w:val="086C040B"/>
    <w:rsid w:val="086C395F"/>
    <w:rsid w:val="08717012"/>
    <w:rsid w:val="08723478"/>
    <w:rsid w:val="08892F7C"/>
    <w:rsid w:val="08923091"/>
    <w:rsid w:val="089C0F5D"/>
    <w:rsid w:val="08B03AFB"/>
    <w:rsid w:val="08B90724"/>
    <w:rsid w:val="08C47A3E"/>
    <w:rsid w:val="08C87720"/>
    <w:rsid w:val="08CB3221"/>
    <w:rsid w:val="08D44585"/>
    <w:rsid w:val="08DC2DC8"/>
    <w:rsid w:val="08E81E7E"/>
    <w:rsid w:val="08EC3267"/>
    <w:rsid w:val="08ED15C1"/>
    <w:rsid w:val="08F3480C"/>
    <w:rsid w:val="09011965"/>
    <w:rsid w:val="090961EB"/>
    <w:rsid w:val="091E6A80"/>
    <w:rsid w:val="092A3778"/>
    <w:rsid w:val="093F6C34"/>
    <w:rsid w:val="09455D06"/>
    <w:rsid w:val="094A6EEA"/>
    <w:rsid w:val="094B084B"/>
    <w:rsid w:val="095962AF"/>
    <w:rsid w:val="09600DC2"/>
    <w:rsid w:val="096A420C"/>
    <w:rsid w:val="097A262D"/>
    <w:rsid w:val="09832281"/>
    <w:rsid w:val="099A5599"/>
    <w:rsid w:val="099C5577"/>
    <w:rsid w:val="09A86DED"/>
    <w:rsid w:val="09C421E0"/>
    <w:rsid w:val="09DB0158"/>
    <w:rsid w:val="09E93BCB"/>
    <w:rsid w:val="09FC6561"/>
    <w:rsid w:val="0A016B79"/>
    <w:rsid w:val="0A03621B"/>
    <w:rsid w:val="0A0A187E"/>
    <w:rsid w:val="0A0A25CC"/>
    <w:rsid w:val="0A125155"/>
    <w:rsid w:val="0A200008"/>
    <w:rsid w:val="0A8D6AAA"/>
    <w:rsid w:val="0A9966EC"/>
    <w:rsid w:val="0AA303D2"/>
    <w:rsid w:val="0AB82C3A"/>
    <w:rsid w:val="0AC168AF"/>
    <w:rsid w:val="0AE918B4"/>
    <w:rsid w:val="0B0F023D"/>
    <w:rsid w:val="0B177CB0"/>
    <w:rsid w:val="0B2D21BD"/>
    <w:rsid w:val="0B354D3B"/>
    <w:rsid w:val="0B373FB7"/>
    <w:rsid w:val="0B56507C"/>
    <w:rsid w:val="0B5E610D"/>
    <w:rsid w:val="0B664F1A"/>
    <w:rsid w:val="0B6C2E6E"/>
    <w:rsid w:val="0B7E6900"/>
    <w:rsid w:val="0B7F68BB"/>
    <w:rsid w:val="0B882E63"/>
    <w:rsid w:val="0BA07952"/>
    <w:rsid w:val="0BB46C2C"/>
    <w:rsid w:val="0BC814CA"/>
    <w:rsid w:val="0BDD2E6B"/>
    <w:rsid w:val="0BFA704B"/>
    <w:rsid w:val="0C04457F"/>
    <w:rsid w:val="0C1D75B8"/>
    <w:rsid w:val="0C2F5D42"/>
    <w:rsid w:val="0C381BFF"/>
    <w:rsid w:val="0C5773B0"/>
    <w:rsid w:val="0C695F77"/>
    <w:rsid w:val="0C8D728A"/>
    <w:rsid w:val="0C9363A8"/>
    <w:rsid w:val="0CB87405"/>
    <w:rsid w:val="0CBA0616"/>
    <w:rsid w:val="0CC861FC"/>
    <w:rsid w:val="0CCC7512"/>
    <w:rsid w:val="0CD100B0"/>
    <w:rsid w:val="0CED1D12"/>
    <w:rsid w:val="0CF80191"/>
    <w:rsid w:val="0CFF240B"/>
    <w:rsid w:val="0D040EBF"/>
    <w:rsid w:val="0D0B5B12"/>
    <w:rsid w:val="0D3F448F"/>
    <w:rsid w:val="0D411DE7"/>
    <w:rsid w:val="0D425A63"/>
    <w:rsid w:val="0D5C45C0"/>
    <w:rsid w:val="0D7D0A76"/>
    <w:rsid w:val="0D852098"/>
    <w:rsid w:val="0DA33B11"/>
    <w:rsid w:val="0DC128D1"/>
    <w:rsid w:val="0DC92A17"/>
    <w:rsid w:val="0DEA4012"/>
    <w:rsid w:val="0DEF7A63"/>
    <w:rsid w:val="0DFD74D5"/>
    <w:rsid w:val="0E044C1B"/>
    <w:rsid w:val="0E0E518E"/>
    <w:rsid w:val="0E2765B4"/>
    <w:rsid w:val="0E456580"/>
    <w:rsid w:val="0E4A6355"/>
    <w:rsid w:val="0E510D47"/>
    <w:rsid w:val="0E67321C"/>
    <w:rsid w:val="0E6F3E7F"/>
    <w:rsid w:val="0E7924CB"/>
    <w:rsid w:val="0E7A215F"/>
    <w:rsid w:val="0E81364F"/>
    <w:rsid w:val="0E821C25"/>
    <w:rsid w:val="0E8B659C"/>
    <w:rsid w:val="0EA502A7"/>
    <w:rsid w:val="0EAB565E"/>
    <w:rsid w:val="0ED04655"/>
    <w:rsid w:val="0ED87BB1"/>
    <w:rsid w:val="0EDE69A8"/>
    <w:rsid w:val="0EE63E78"/>
    <w:rsid w:val="0EF84637"/>
    <w:rsid w:val="0F166EF5"/>
    <w:rsid w:val="0F4F2C62"/>
    <w:rsid w:val="0F65224A"/>
    <w:rsid w:val="0F987354"/>
    <w:rsid w:val="0FAD7FC0"/>
    <w:rsid w:val="0FC878C9"/>
    <w:rsid w:val="0FC92232"/>
    <w:rsid w:val="0FED640C"/>
    <w:rsid w:val="0FF15C09"/>
    <w:rsid w:val="0FFB6686"/>
    <w:rsid w:val="100A007E"/>
    <w:rsid w:val="100F1DE9"/>
    <w:rsid w:val="10233E65"/>
    <w:rsid w:val="102D2957"/>
    <w:rsid w:val="103A295F"/>
    <w:rsid w:val="10491FBF"/>
    <w:rsid w:val="104E5B8A"/>
    <w:rsid w:val="10593038"/>
    <w:rsid w:val="10621F70"/>
    <w:rsid w:val="106D346F"/>
    <w:rsid w:val="107101A9"/>
    <w:rsid w:val="10715F61"/>
    <w:rsid w:val="108B00AF"/>
    <w:rsid w:val="10917ED6"/>
    <w:rsid w:val="10961B97"/>
    <w:rsid w:val="10A4638E"/>
    <w:rsid w:val="10AB495D"/>
    <w:rsid w:val="10C13816"/>
    <w:rsid w:val="10C40A1A"/>
    <w:rsid w:val="10C5247C"/>
    <w:rsid w:val="10D10E21"/>
    <w:rsid w:val="10D6470C"/>
    <w:rsid w:val="10D8319E"/>
    <w:rsid w:val="10DE75D0"/>
    <w:rsid w:val="110568FB"/>
    <w:rsid w:val="11107C6D"/>
    <w:rsid w:val="112C1318"/>
    <w:rsid w:val="11376C0B"/>
    <w:rsid w:val="113A4C18"/>
    <w:rsid w:val="1146085A"/>
    <w:rsid w:val="11481805"/>
    <w:rsid w:val="11513FC9"/>
    <w:rsid w:val="117F4F8B"/>
    <w:rsid w:val="11A15DB9"/>
    <w:rsid w:val="11A913FF"/>
    <w:rsid w:val="11BD13A5"/>
    <w:rsid w:val="11BF5185"/>
    <w:rsid w:val="11C04432"/>
    <w:rsid w:val="11C3441F"/>
    <w:rsid w:val="11E77871"/>
    <w:rsid w:val="11EB645F"/>
    <w:rsid w:val="11F823DD"/>
    <w:rsid w:val="120C332E"/>
    <w:rsid w:val="120F17F3"/>
    <w:rsid w:val="121360D8"/>
    <w:rsid w:val="12221CD5"/>
    <w:rsid w:val="123E4E3D"/>
    <w:rsid w:val="124949E7"/>
    <w:rsid w:val="124F0944"/>
    <w:rsid w:val="127D56F3"/>
    <w:rsid w:val="128A7E1F"/>
    <w:rsid w:val="129168E1"/>
    <w:rsid w:val="12A32349"/>
    <w:rsid w:val="12B2764B"/>
    <w:rsid w:val="12BF7968"/>
    <w:rsid w:val="12F437CF"/>
    <w:rsid w:val="12F4756B"/>
    <w:rsid w:val="1307028C"/>
    <w:rsid w:val="131053CF"/>
    <w:rsid w:val="132660F0"/>
    <w:rsid w:val="13364B00"/>
    <w:rsid w:val="134C1C8F"/>
    <w:rsid w:val="134D74D4"/>
    <w:rsid w:val="135027B6"/>
    <w:rsid w:val="136E1C70"/>
    <w:rsid w:val="137C4B1C"/>
    <w:rsid w:val="137E53B9"/>
    <w:rsid w:val="1389746C"/>
    <w:rsid w:val="139F05BC"/>
    <w:rsid w:val="139F6C7E"/>
    <w:rsid w:val="13BF1AD0"/>
    <w:rsid w:val="13D75DF6"/>
    <w:rsid w:val="13F01AF7"/>
    <w:rsid w:val="13F074D7"/>
    <w:rsid w:val="13F65384"/>
    <w:rsid w:val="14075901"/>
    <w:rsid w:val="140E413A"/>
    <w:rsid w:val="14333470"/>
    <w:rsid w:val="145A197B"/>
    <w:rsid w:val="147025C7"/>
    <w:rsid w:val="148C60BE"/>
    <w:rsid w:val="14A573DD"/>
    <w:rsid w:val="14B17F4D"/>
    <w:rsid w:val="14BB6070"/>
    <w:rsid w:val="14D233B9"/>
    <w:rsid w:val="14D54A40"/>
    <w:rsid w:val="14D67917"/>
    <w:rsid w:val="14D94748"/>
    <w:rsid w:val="14DD70DD"/>
    <w:rsid w:val="14ED0F85"/>
    <w:rsid w:val="14F050A7"/>
    <w:rsid w:val="151C1030"/>
    <w:rsid w:val="1539793C"/>
    <w:rsid w:val="1556158D"/>
    <w:rsid w:val="15714219"/>
    <w:rsid w:val="15756230"/>
    <w:rsid w:val="158C7E7A"/>
    <w:rsid w:val="158E72E0"/>
    <w:rsid w:val="15BD2ADD"/>
    <w:rsid w:val="15C17953"/>
    <w:rsid w:val="15C61FB5"/>
    <w:rsid w:val="15D234A2"/>
    <w:rsid w:val="15D368C5"/>
    <w:rsid w:val="15DB4DE6"/>
    <w:rsid w:val="16016360"/>
    <w:rsid w:val="163540C8"/>
    <w:rsid w:val="163A2505"/>
    <w:rsid w:val="16415579"/>
    <w:rsid w:val="16504596"/>
    <w:rsid w:val="16563FC8"/>
    <w:rsid w:val="16621492"/>
    <w:rsid w:val="166431D5"/>
    <w:rsid w:val="16656AFC"/>
    <w:rsid w:val="1694052D"/>
    <w:rsid w:val="169A57FF"/>
    <w:rsid w:val="16B07BAF"/>
    <w:rsid w:val="16B65265"/>
    <w:rsid w:val="16D90991"/>
    <w:rsid w:val="16E143B6"/>
    <w:rsid w:val="16EE6B3C"/>
    <w:rsid w:val="16EF3DAF"/>
    <w:rsid w:val="16FF3E93"/>
    <w:rsid w:val="17193F45"/>
    <w:rsid w:val="171B2DF6"/>
    <w:rsid w:val="171C1C63"/>
    <w:rsid w:val="171C2DB9"/>
    <w:rsid w:val="1732013F"/>
    <w:rsid w:val="173D50D9"/>
    <w:rsid w:val="177475FB"/>
    <w:rsid w:val="17783588"/>
    <w:rsid w:val="17806E60"/>
    <w:rsid w:val="178C6BFF"/>
    <w:rsid w:val="1795160D"/>
    <w:rsid w:val="17982698"/>
    <w:rsid w:val="17B17001"/>
    <w:rsid w:val="17C37466"/>
    <w:rsid w:val="17CF19E0"/>
    <w:rsid w:val="17F2357D"/>
    <w:rsid w:val="17F25422"/>
    <w:rsid w:val="17F31118"/>
    <w:rsid w:val="17F46E9B"/>
    <w:rsid w:val="18167D6F"/>
    <w:rsid w:val="181B0712"/>
    <w:rsid w:val="183068F5"/>
    <w:rsid w:val="18414423"/>
    <w:rsid w:val="18423CDF"/>
    <w:rsid w:val="184703DA"/>
    <w:rsid w:val="184941AE"/>
    <w:rsid w:val="18547231"/>
    <w:rsid w:val="1897406E"/>
    <w:rsid w:val="18A92854"/>
    <w:rsid w:val="18DD2445"/>
    <w:rsid w:val="18E416EE"/>
    <w:rsid w:val="18F31102"/>
    <w:rsid w:val="18F36EFC"/>
    <w:rsid w:val="18F7375C"/>
    <w:rsid w:val="18FD4BFF"/>
    <w:rsid w:val="19137AFC"/>
    <w:rsid w:val="191E46B4"/>
    <w:rsid w:val="193B694A"/>
    <w:rsid w:val="19454C0C"/>
    <w:rsid w:val="1945658A"/>
    <w:rsid w:val="194A1770"/>
    <w:rsid w:val="19650358"/>
    <w:rsid w:val="1969191D"/>
    <w:rsid w:val="197118FD"/>
    <w:rsid w:val="198D3532"/>
    <w:rsid w:val="19921E9B"/>
    <w:rsid w:val="1993593F"/>
    <w:rsid w:val="19971F22"/>
    <w:rsid w:val="19B117AF"/>
    <w:rsid w:val="19C06D3F"/>
    <w:rsid w:val="19CF1D01"/>
    <w:rsid w:val="19D37EE8"/>
    <w:rsid w:val="19D430A6"/>
    <w:rsid w:val="19DE6179"/>
    <w:rsid w:val="19EB6F10"/>
    <w:rsid w:val="19F474BF"/>
    <w:rsid w:val="19FC1CEE"/>
    <w:rsid w:val="1A0B0B4C"/>
    <w:rsid w:val="1A1D66C4"/>
    <w:rsid w:val="1A314E94"/>
    <w:rsid w:val="1A3B75D6"/>
    <w:rsid w:val="1A430498"/>
    <w:rsid w:val="1A576AEE"/>
    <w:rsid w:val="1A5C4A70"/>
    <w:rsid w:val="1A664835"/>
    <w:rsid w:val="1A9F074C"/>
    <w:rsid w:val="1ACA268F"/>
    <w:rsid w:val="1ACC045C"/>
    <w:rsid w:val="1AD360A8"/>
    <w:rsid w:val="1ADC6D40"/>
    <w:rsid w:val="1AE510A6"/>
    <w:rsid w:val="1B0A21F2"/>
    <w:rsid w:val="1B15245C"/>
    <w:rsid w:val="1B2137D3"/>
    <w:rsid w:val="1B2947BD"/>
    <w:rsid w:val="1B2D3066"/>
    <w:rsid w:val="1B3E2C1D"/>
    <w:rsid w:val="1B482FEA"/>
    <w:rsid w:val="1B543F7D"/>
    <w:rsid w:val="1B5468D6"/>
    <w:rsid w:val="1B621D6F"/>
    <w:rsid w:val="1B771225"/>
    <w:rsid w:val="1B882A24"/>
    <w:rsid w:val="1B886BC4"/>
    <w:rsid w:val="1B8D6B9A"/>
    <w:rsid w:val="1B943943"/>
    <w:rsid w:val="1B9E3FF5"/>
    <w:rsid w:val="1BA23C3E"/>
    <w:rsid w:val="1BAC3BB2"/>
    <w:rsid w:val="1BAF3AD0"/>
    <w:rsid w:val="1BB63319"/>
    <w:rsid w:val="1BC23992"/>
    <w:rsid w:val="1BCA303C"/>
    <w:rsid w:val="1BCA30AA"/>
    <w:rsid w:val="1BE6353D"/>
    <w:rsid w:val="1BF67495"/>
    <w:rsid w:val="1C0726B1"/>
    <w:rsid w:val="1C231314"/>
    <w:rsid w:val="1C31300F"/>
    <w:rsid w:val="1C35306E"/>
    <w:rsid w:val="1C3A59CE"/>
    <w:rsid w:val="1C5009F3"/>
    <w:rsid w:val="1C545F51"/>
    <w:rsid w:val="1C550B58"/>
    <w:rsid w:val="1C6108BB"/>
    <w:rsid w:val="1C644713"/>
    <w:rsid w:val="1C70048A"/>
    <w:rsid w:val="1C7B3C05"/>
    <w:rsid w:val="1C7E755F"/>
    <w:rsid w:val="1C8634F0"/>
    <w:rsid w:val="1C8F719B"/>
    <w:rsid w:val="1CAD3AD2"/>
    <w:rsid w:val="1CCB7F3D"/>
    <w:rsid w:val="1CD878A5"/>
    <w:rsid w:val="1CEF5BC0"/>
    <w:rsid w:val="1CFC34C1"/>
    <w:rsid w:val="1CFF1436"/>
    <w:rsid w:val="1D2740EC"/>
    <w:rsid w:val="1D2A44F3"/>
    <w:rsid w:val="1D2B4C2F"/>
    <w:rsid w:val="1D603275"/>
    <w:rsid w:val="1D6A254F"/>
    <w:rsid w:val="1D6F4D74"/>
    <w:rsid w:val="1D721295"/>
    <w:rsid w:val="1D7736AD"/>
    <w:rsid w:val="1D8778D7"/>
    <w:rsid w:val="1D8C0E02"/>
    <w:rsid w:val="1D9B2B27"/>
    <w:rsid w:val="1DCB6258"/>
    <w:rsid w:val="1DD623FA"/>
    <w:rsid w:val="1DED652F"/>
    <w:rsid w:val="1DF51978"/>
    <w:rsid w:val="1E0D2A91"/>
    <w:rsid w:val="1E156A55"/>
    <w:rsid w:val="1E200CF1"/>
    <w:rsid w:val="1E2C28B5"/>
    <w:rsid w:val="1E3B0948"/>
    <w:rsid w:val="1E413393"/>
    <w:rsid w:val="1E4174EF"/>
    <w:rsid w:val="1E4F5844"/>
    <w:rsid w:val="1E547A49"/>
    <w:rsid w:val="1E557A67"/>
    <w:rsid w:val="1E5D3CA5"/>
    <w:rsid w:val="1E662810"/>
    <w:rsid w:val="1E7726E6"/>
    <w:rsid w:val="1E9578CA"/>
    <w:rsid w:val="1E972EAB"/>
    <w:rsid w:val="1E997BD0"/>
    <w:rsid w:val="1ED90489"/>
    <w:rsid w:val="1EE2244B"/>
    <w:rsid w:val="1EF86EC7"/>
    <w:rsid w:val="1EFD0F84"/>
    <w:rsid w:val="1F0009C2"/>
    <w:rsid w:val="1F236774"/>
    <w:rsid w:val="1F292DF6"/>
    <w:rsid w:val="1F3A12F3"/>
    <w:rsid w:val="1F3D58D3"/>
    <w:rsid w:val="1F405B6C"/>
    <w:rsid w:val="1F4E09F3"/>
    <w:rsid w:val="1F4E4F2F"/>
    <w:rsid w:val="1F6D5F18"/>
    <w:rsid w:val="1F8872E7"/>
    <w:rsid w:val="1F8A3A33"/>
    <w:rsid w:val="1F9B19CA"/>
    <w:rsid w:val="1F9E66CC"/>
    <w:rsid w:val="1FB7445B"/>
    <w:rsid w:val="1FC57939"/>
    <w:rsid w:val="1FE3508C"/>
    <w:rsid w:val="201B4EAC"/>
    <w:rsid w:val="201C198C"/>
    <w:rsid w:val="201D17EB"/>
    <w:rsid w:val="202E42C7"/>
    <w:rsid w:val="20472ECD"/>
    <w:rsid w:val="20581222"/>
    <w:rsid w:val="208866B9"/>
    <w:rsid w:val="2091237A"/>
    <w:rsid w:val="209241AC"/>
    <w:rsid w:val="209471D7"/>
    <w:rsid w:val="209A7E9A"/>
    <w:rsid w:val="209F6C41"/>
    <w:rsid w:val="20A96D2B"/>
    <w:rsid w:val="20B451AD"/>
    <w:rsid w:val="20B83463"/>
    <w:rsid w:val="20E05A27"/>
    <w:rsid w:val="20EE157B"/>
    <w:rsid w:val="20FA3253"/>
    <w:rsid w:val="210211FD"/>
    <w:rsid w:val="21043B84"/>
    <w:rsid w:val="21274A8D"/>
    <w:rsid w:val="21282005"/>
    <w:rsid w:val="212925B3"/>
    <w:rsid w:val="212E43E6"/>
    <w:rsid w:val="21306FFF"/>
    <w:rsid w:val="215C1AF2"/>
    <w:rsid w:val="21624D20"/>
    <w:rsid w:val="21706BA4"/>
    <w:rsid w:val="217B79D8"/>
    <w:rsid w:val="217C20DC"/>
    <w:rsid w:val="217F674F"/>
    <w:rsid w:val="218A371D"/>
    <w:rsid w:val="219043E0"/>
    <w:rsid w:val="219816FA"/>
    <w:rsid w:val="21A974B5"/>
    <w:rsid w:val="21C30BC5"/>
    <w:rsid w:val="21C71156"/>
    <w:rsid w:val="21D50045"/>
    <w:rsid w:val="220A1A76"/>
    <w:rsid w:val="22372741"/>
    <w:rsid w:val="2253227C"/>
    <w:rsid w:val="22792A22"/>
    <w:rsid w:val="22905E43"/>
    <w:rsid w:val="22931EBA"/>
    <w:rsid w:val="22961DC9"/>
    <w:rsid w:val="22A31239"/>
    <w:rsid w:val="22B829F6"/>
    <w:rsid w:val="22C205C9"/>
    <w:rsid w:val="22D06E07"/>
    <w:rsid w:val="22DC544E"/>
    <w:rsid w:val="22E42764"/>
    <w:rsid w:val="22F1669D"/>
    <w:rsid w:val="22F47EEF"/>
    <w:rsid w:val="230D6D75"/>
    <w:rsid w:val="2324273C"/>
    <w:rsid w:val="23294227"/>
    <w:rsid w:val="2333469F"/>
    <w:rsid w:val="23373F8C"/>
    <w:rsid w:val="233B2B6D"/>
    <w:rsid w:val="233E6679"/>
    <w:rsid w:val="23431F3B"/>
    <w:rsid w:val="23930C1F"/>
    <w:rsid w:val="23962791"/>
    <w:rsid w:val="23A32F09"/>
    <w:rsid w:val="23C103D5"/>
    <w:rsid w:val="23C5050B"/>
    <w:rsid w:val="23C87FA1"/>
    <w:rsid w:val="23CE3FFC"/>
    <w:rsid w:val="23D07B76"/>
    <w:rsid w:val="24131070"/>
    <w:rsid w:val="241471A7"/>
    <w:rsid w:val="24396FD9"/>
    <w:rsid w:val="2444250E"/>
    <w:rsid w:val="24586BCD"/>
    <w:rsid w:val="24654ECD"/>
    <w:rsid w:val="24F353CE"/>
    <w:rsid w:val="24F3728B"/>
    <w:rsid w:val="251C53CB"/>
    <w:rsid w:val="253013D8"/>
    <w:rsid w:val="25304775"/>
    <w:rsid w:val="253E64A8"/>
    <w:rsid w:val="253F12EF"/>
    <w:rsid w:val="254F027A"/>
    <w:rsid w:val="25725D61"/>
    <w:rsid w:val="257F203E"/>
    <w:rsid w:val="258A07B2"/>
    <w:rsid w:val="25D83BE0"/>
    <w:rsid w:val="25D86356"/>
    <w:rsid w:val="260A1C2D"/>
    <w:rsid w:val="260A60D8"/>
    <w:rsid w:val="262A61D3"/>
    <w:rsid w:val="267C10E3"/>
    <w:rsid w:val="268C3905"/>
    <w:rsid w:val="26A21427"/>
    <w:rsid w:val="26A50B15"/>
    <w:rsid w:val="26BB55EE"/>
    <w:rsid w:val="26C352FB"/>
    <w:rsid w:val="26C756D4"/>
    <w:rsid w:val="26C80881"/>
    <w:rsid w:val="26CC2FB5"/>
    <w:rsid w:val="26CD0BBF"/>
    <w:rsid w:val="26CF4F1E"/>
    <w:rsid w:val="26D51FEF"/>
    <w:rsid w:val="26D80CCA"/>
    <w:rsid w:val="26D943DC"/>
    <w:rsid w:val="26ED1D1A"/>
    <w:rsid w:val="26F050BC"/>
    <w:rsid w:val="27044B7A"/>
    <w:rsid w:val="270D2737"/>
    <w:rsid w:val="274D5C67"/>
    <w:rsid w:val="274E4791"/>
    <w:rsid w:val="27523BA6"/>
    <w:rsid w:val="275B7BDD"/>
    <w:rsid w:val="27647521"/>
    <w:rsid w:val="27767BD4"/>
    <w:rsid w:val="27780ED5"/>
    <w:rsid w:val="277919F8"/>
    <w:rsid w:val="277C2603"/>
    <w:rsid w:val="277F5D5D"/>
    <w:rsid w:val="278D2F95"/>
    <w:rsid w:val="27906FF2"/>
    <w:rsid w:val="27986ED5"/>
    <w:rsid w:val="27AB4887"/>
    <w:rsid w:val="27C024F3"/>
    <w:rsid w:val="27C22ADD"/>
    <w:rsid w:val="27D17D1D"/>
    <w:rsid w:val="27D861C3"/>
    <w:rsid w:val="27EB24A8"/>
    <w:rsid w:val="28095F37"/>
    <w:rsid w:val="280A4121"/>
    <w:rsid w:val="281708AE"/>
    <w:rsid w:val="282F33E3"/>
    <w:rsid w:val="283E0B9B"/>
    <w:rsid w:val="28445769"/>
    <w:rsid w:val="285506B7"/>
    <w:rsid w:val="28581799"/>
    <w:rsid w:val="28604480"/>
    <w:rsid w:val="286B525F"/>
    <w:rsid w:val="286D0FD7"/>
    <w:rsid w:val="287175CA"/>
    <w:rsid w:val="28753664"/>
    <w:rsid w:val="288858AF"/>
    <w:rsid w:val="288A7DDB"/>
    <w:rsid w:val="289B51BE"/>
    <w:rsid w:val="28AF7842"/>
    <w:rsid w:val="28BA534D"/>
    <w:rsid w:val="28E07756"/>
    <w:rsid w:val="28E54BC4"/>
    <w:rsid w:val="28EF73BE"/>
    <w:rsid w:val="2900512A"/>
    <w:rsid w:val="29116AF6"/>
    <w:rsid w:val="293E04BC"/>
    <w:rsid w:val="294B1CF6"/>
    <w:rsid w:val="295122C2"/>
    <w:rsid w:val="296A3769"/>
    <w:rsid w:val="298A2320"/>
    <w:rsid w:val="29921A0F"/>
    <w:rsid w:val="29952AB8"/>
    <w:rsid w:val="299F2882"/>
    <w:rsid w:val="29BB2B80"/>
    <w:rsid w:val="29EC32BE"/>
    <w:rsid w:val="29EC779F"/>
    <w:rsid w:val="29EE683F"/>
    <w:rsid w:val="29F06D6E"/>
    <w:rsid w:val="29F47925"/>
    <w:rsid w:val="29F92422"/>
    <w:rsid w:val="29FA24AC"/>
    <w:rsid w:val="29FE479A"/>
    <w:rsid w:val="2A3B0F30"/>
    <w:rsid w:val="2A3E6D57"/>
    <w:rsid w:val="2A564F1C"/>
    <w:rsid w:val="2A6553E6"/>
    <w:rsid w:val="2A666F1B"/>
    <w:rsid w:val="2A79531B"/>
    <w:rsid w:val="2A86261D"/>
    <w:rsid w:val="2A877B3A"/>
    <w:rsid w:val="2A994BD5"/>
    <w:rsid w:val="2A9C5BA4"/>
    <w:rsid w:val="2AAF324B"/>
    <w:rsid w:val="2ABE0FC8"/>
    <w:rsid w:val="2AC337B4"/>
    <w:rsid w:val="2AC46199"/>
    <w:rsid w:val="2ACC06BE"/>
    <w:rsid w:val="2ADA66CC"/>
    <w:rsid w:val="2AEC422F"/>
    <w:rsid w:val="2B1E20FC"/>
    <w:rsid w:val="2B265D13"/>
    <w:rsid w:val="2B453124"/>
    <w:rsid w:val="2B4909D8"/>
    <w:rsid w:val="2B4D7691"/>
    <w:rsid w:val="2B5252B0"/>
    <w:rsid w:val="2B560448"/>
    <w:rsid w:val="2B643B65"/>
    <w:rsid w:val="2B6D387D"/>
    <w:rsid w:val="2B7977D9"/>
    <w:rsid w:val="2B7C3A14"/>
    <w:rsid w:val="2B821D0E"/>
    <w:rsid w:val="2B8D1E34"/>
    <w:rsid w:val="2BA0497C"/>
    <w:rsid w:val="2BA77B9F"/>
    <w:rsid w:val="2BB30D5E"/>
    <w:rsid w:val="2BBB5624"/>
    <w:rsid w:val="2BC96E6C"/>
    <w:rsid w:val="2BE3429E"/>
    <w:rsid w:val="2BF427D4"/>
    <w:rsid w:val="2C0757FC"/>
    <w:rsid w:val="2C196FF0"/>
    <w:rsid w:val="2C4C16FF"/>
    <w:rsid w:val="2C4D0BC7"/>
    <w:rsid w:val="2C4D367D"/>
    <w:rsid w:val="2C536973"/>
    <w:rsid w:val="2C554738"/>
    <w:rsid w:val="2C65546D"/>
    <w:rsid w:val="2C6D5E7A"/>
    <w:rsid w:val="2C7737C8"/>
    <w:rsid w:val="2C7E05A5"/>
    <w:rsid w:val="2C973BBA"/>
    <w:rsid w:val="2C992FA5"/>
    <w:rsid w:val="2C9D1712"/>
    <w:rsid w:val="2CA156F3"/>
    <w:rsid w:val="2CA50483"/>
    <w:rsid w:val="2CAC416A"/>
    <w:rsid w:val="2CBE125E"/>
    <w:rsid w:val="2CD25DAF"/>
    <w:rsid w:val="2CD4100C"/>
    <w:rsid w:val="2CDE23AC"/>
    <w:rsid w:val="2CDE452A"/>
    <w:rsid w:val="2CEB1595"/>
    <w:rsid w:val="2D001100"/>
    <w:rsid w:val="2D012A59"/>
    <w:rsid w:val="2D306A77"/>
    <w:rsid w:val="2D4E51DC"/>
    <w:rsid w:val="2D570793"/>
    <w:rsid w:val="2D584DC0"/>
    <w:rsid w:val="2D6354A6"/>
    <w:rsid w:val="2D775E57"/>
    <w:rsid w:val="2D8A6827"/>
    <w:rsid w:val="2D996039"/>
    <w:rsid w:val="2D9B64CF"/>
    <w:rsid w:val="2DAD1E76"/>
    <w:rsid w:val="2DB765E6"/>
    <w:rsid w:val="2DBA05CD"/>
    <w:rsid w:val="2DC25A9E"/>
    <w:rsid w:val="2DC84AC1"/>
    <w:rsid w:val="2DD1496B"/>
    <w:rsid w:val="2DD84926"/>
    <w:rsid w:val="2DDA099F"/>
    <w:rsid w:val="2DDC2DE3"/>
    <w:rsid w:val="2DF90A06"/>
    <w:rsid w:val="2E0A283D"/>
    <w:rsid w:val="2E1106C0"/>
    <w:rsid w:val="2E1B22AB"/>
    <w:rsid w:val="2E234DA7"/>
    <w:rsid w:val="2E2E3670"/>
    <w:rsid w:val="2E3603EC"/>
    <w:rsid w:val="2E59427E"/>
    <w:rsid w:val="2E5B5CED"/>
    <w:rsid w:val="2E76081F"/>
    <w:rsid w:val="2E8D23D3"/>
    <w:rsid w:val="2E9F3EB4"/>
    <w:rsid w:val="2EA23CAA"/>
    <w:rsid w:val="2EF73CF0"/>
    <w:rsid w:val="2F095A50"/>
    <w:rsid w:val="2F126AAD"/>
    <w:rsid w:val="2F350D46"/>
    <w:rsid w:val="2F3E3E37"/>
    <w:rsid w:val="2F4B06AD"/>
    <w:rsid w:val="2F4D0C2D"/>
    <w:rsid w:val="2F515933"/>
    <w:rsid w:val="2F5352C4"/>
    <w:rsid w:val="2F7221C0"/>
    <w:rsid w:val="2F7A5682"/>
    <w:rsid w:val="2F8F080D"/>
    <w:rsid w:val="2FA06013"/>
    <w:rsid w:val="2FAF59F5"/>
    <w:rsid w:val="2FB31965"/>
    <w:rsid w:val="2FCE091C"/>
    <w:rsid w:val="2FD24608"/>
    <w:rsid w:val="2FD512DB"/>
    <w:rsid w:val="2FE967DB"/>
    <w:rsid w:val="2FEB5EAE"/>
    <w:rsid w:val="2FF42323"/>
    <w:rsid w:val="2FF55FF1"/>
    <w:rsid w:val="2FF83796"/>
    <w:rsid w:val="3000360C"/>
    <w:rsid w:val="30146BDF"/>
    <w:rsid w:val="301E71F0"/>
    <w:rsid w:val="30284C8F"/>
    <w:rsid w:val="30322500"/>
    <w:rsid w:val="303F6A18"/>
    <w:rsid w:val="304A60A2"/>
    <w:rsid w:val="30510579"/>
    <w:rsid w:val="30534CBD"/>
    <w:rsid w:val="30587897"/>
    <w:rsid w:val="30737883"/>
    <w:rsid w:val="30752632"/>
    <w:rsid w:val="30874C00"/>
    <w:rsid w:val="30981DAC"/>
    <w:rsid w:val="309D08C8"/>
    <w:rsid w:val="30AF12EF"/>
    <w:rsid w:val="30C10131"/>
    <w:rsid w:val="30E27D44"/>
    <w:rsid w:val="30EE4C7F"/>
    <w:rsid w:val="30FC500D"/>
    <w:rsid w:val="310C0594"/>
    <w:rsid w:val="310F177F"/>
    <w:rsid w:val="312C4574"/>
    <w:rsid w:val="31396A7E"/>
    <w:rsid w:val="31475FC3"/>
    <w:rsid w:val="315479D5"/>
    <w:rsid w:val="315B0C87"/>
    <w:rsid w:val="31606B58"/>
    <w:rsid w:val="316415FE"/>
    <w:rsid w:val="319B796C"/>
    <w:rsid w:val="319E5890"/>
    <w:rsid w:val="31A51813"/>
    <w:rsid w:val="31A86696"/>
    <w:rsid w:val="31C04AAB"/>
    <w:rsid w:val="31D84DF8"/>
    <w:rsid w:val="31E11582"/>
    <w:rsid w:val="31E25218"/>
    <w:rsid w:val="31E36AAB"/>
    <w:rsid w:val="31E93DA7"/>
    <w:rsid w:val="31F56A57"/>
    <w:rsid w:val="32006F4B"/>
    <w:rsid w:val="321D2A85"/>
    <w:rsid w:val="322A3648"/>
    <w:rsid w:val="324C0285"/>
    <w:rsid w:val="325059F1"/>
    <w:rsid w:val="325942D2"/>
    <w:rsid w:val="325A127C"/>
    <w:rsid w:val="326064D2"/>
    <w:rsid w:val="32676027"/>
    <w:rsid w:val="326E450F"/>
    <w:rsid w:val="32735F6C"/>
    <w:rsid w:val="32741E3A"/>
    <w:rsid w:val="328F63E5"/>
    <w:rsid w:val="32997407"/>
    <w:rsid w:val="329B0E37"/>
    <w:rsid w:val="32A44541"/>
    <w:rsid w:val="32AA5AB3"/>
    <w:rsid w:val="32B90630"/>
    <w:rsid w:val="32C947C5"/>
    <w:rsid w:val="32D96260"/>
    <w:rsid w:val="32E127C2"/>
    <w:rsid w:val="32F01183"/>
    <w:rsid w:val="32FD564D"/>
    <w:rsid w:val="33134F49"/>
    <w:rsid w:val="331C1689"/>
    <w:rsid w:val="3324525D"/>
    <w:rsid w:val="333F2DCA"/>
    <w:rsid w:val="335F54D0"/>
    <w:rsid w:val="337467D7"/>
    <w:rsid w:val="337551E4"/>
    <w:rsid w:val="337E122D"/>
    <w:rsid w:val="33805C9E"/>
    <w:rsid w:val="3384068A"/>
    <w:rsid w:val="33A041E6"/>
    <w:rsid w:val="33AB7C81"/>
    <w:rsid w:val="33BE787F"/>
    <w:rsid w:val="33C50C5F"/>
    <w:rsid w:val="33CE6ACF"/>
    <w:rsid w:val="33D43C24"/>
    <w:rsid w:val="33DB7207"/>
    <w:rsid w:val="33E0425F"/>
    <w:rsid w:val="33EF5DE3"/>
    <w:rsid w:val="340268F2"/>
    <w:rsid w:val="34157987"/>
    <w:rsid w:val="34200825"/>
    <w:rsid w:val="34424815"/>
    <w:rsid w:val="34663A7B"/>
    <w:rsid w:val="34664D47"/>
    <w:rsid w:val="346F1520"/>
    <w:rsid w:val="34833ABF"/>
    <w:rsid w:val="34B57CCB"/>
    <w:rsid w:val="34B716B9"/>
    <w:rsid w:val="34BB420F"/>
    <w:rsid w:val="34C74165"/>
    <w:rsid w:val="34CB7C45"/>
    <w:rsid w:val="34DA7CCE"/>
    <w:rsid w:val="34EE7D5B"/>
    <w:rsid w:val="350635C4"/>
    <w:rsid w:val="350F64CC"/>
    <w:rsid w:val="351133A3"/>
    <w:rsid w:val="35157C4A"/>
    <w:rsid w:val="35194603"/>
    <w:rsid w:val="353D3F26"/>
    <w:rsid w:val="35584DBD"/>
    <w:rsid w:val="355C0905"/>
    <w:rsid w:val="357379B3"/>
    <w:rsid w:val="357E384A"/>
    <w:rsid w:val="357F213E"/>
    <w:rsid w:val="358061E8"/>
    <w:rsid w:val="35832D06"/>
    <w:rsid w:val="359A1B94"/>
    <w:rsid w:val="35A42892"/>
    <w:rsid w:val="35B0477E"/>
    <w:rsid w:val="35DF518E"/>
    <w:rsid w:val="35E17D84"/>
    <w:rsid w:val="35ED08C4"/>
    <w:rsid w:val="35F16391"/>
    <w:rsid w:val="35FB6795"/>
    <w:rsid w:val="36037C2D"/>
    <w:rsid w:val="360F6331"/>
    <w:rsid w:val="362058FE"/>
    <w:rsid w:val="363C023B"/>
    <w:rsid w:val="363C6A9B"/>
    <w:rsid w:val="3640117D"/>
    <w:rsid w:val="36566112"/>
    <w:rsid w:val="36865C76"/>
    <w:rsid w:val="36907D8F"/>
    <w:rsid w:val="36A75FFC"/>
    <w:rsid w:val="36B86F23"/>
    <w:rsid w:val="36D25ABD"/>
    <w:rsid w:val="36EF544F"/>
    <w:rsid w:val="37015C42"/>
    <w:rsid w:val="371231E8"/>
    <w:rsid w:val="37331271"/>
    <w:rsid w:val="373838CC"/>
    <w:rsid w:val="373D289B"/>
    <w:rsid w:val="37461A6D"/>
    <w:rsid w:val="3747090B"/>
    <w:rsid w:val="3755123B"/>
    <w:rsid w:val="376455C1"/>
    <w:rsid w:val="37684B3E"/>
    <w:rsid w:val="37754210"/>
    <w:rsid w:val="377F53A8"/>
    <w:rsid w:val="378F022D"/>
    <w:rsid w:val="37937CBD"/>
    <w:rsid w:val="37A662B4"/>
    <w:rsid w:val="37A91B54"/>
    <w:rsid w:val="37A9268A"/>
    <w:rsid w:val="37B254F5"/>
    <w:rsid w:val="37C24C19"/>
    <w:rsid w:val="37CC23F4"/>
    <w:rsid w:val="37D04F46"/>
    <w:rsid w:val="37E05D46"/>
    <w:rsid w:val="37E140CD"/>
    <w:rsid w:val="37E3706A"/>
    <w:rsid w:val="37F73644"/>
    <w:rsid w:val="38237904"/>
    <w:rsid w:val="382402CC"/>
    <w:rsid w:val="382B6BFA"/>
    <w:rsid w:val="38653A79"/>
    <w:rsid w:val="387A0398"/>
    <w:rsid w:val="38802AF6"/>
    <w:rsid w:val="388C002D"/>
    <w:rsid w:val="38900C0B"/>
    <w:rsid w:val="389154A6"/>
    <w:rsid w:val="389A209E"/>
    <w:rsid w:val="38A81BB8"/>
    <w:rsid w:val="38AE5D2E"/>
    <w:rsid w:val="38B60778"/>
    <w:rsid w:val="38BE6B25"/>
    <w:rsid w:val="38C1067F"/>
    <w:rsid w:val="38C82EA6"/>
    <w:rsid w:val="38D053B1"/>
    <w:rsid w:val="38F93D38"/>
    <w:rsid w:val="38FB2756"/>
    <w:rsid w:val="39033184"/>
    <w:rsid w:val="39046D85"/>
    <w:rsid w:val="39060D56"/>
    <w:rsid w:val="391C766D"/>
    <w:rsid w:val="39270E3C"/>
    <w:rsid w:val="39521A0A"/>
    <w:rsid w:val="395D6324"/>
    <w:rsid w:val="39657124"/>
    <w:rsid w:val="397207A7"/>
    <w:rsid w:val="39737545"/>
    <w:rsid w:val="397A7369"/>
    <w:rsid w:val="39816CFA"/>
    <w:rsid w:val="3988370A"/>
    <w:rsid w:val="39902C76"/>
    <w:rsid w:val="39987658"/>
    <w:rsid w:val="399F745E"/>
    <w:rsid w:val="39A01163"/>
    <w:rsid w:val="39AB1FFB"/>
    <w:rsid w:val="39C72D53"/>
    <w:rsid w:val="39E6469A"/>
    <w:rsid w:val="39E73226"/>
    <w:rsid w:val="39F229AD"/>
    <w:rsid w:val="39FE193B"/>
    <w:rsid w:val="3A255667"/>
    <w:rsid w:val="3A295650"/>
    <w:rsid w:val="3A2E68EE"/>
    <w:rsid w:val="3A4D61ED"/>
    <w:rsid w:val="3A614977"/>
    <w:rsid w:val="3A6D2017"/>
    <w:rsid w:val="3A93317B"/>
    <w:rsid w:val="3A9813E3"/>
    <w:rsid w:val="3AA62666"/>
    <w:rsid w:val="3AC24AD6"/>
    <w:rsid w:val="3AD24D52"/>
    <w:rsid w:val="3AD732BC"/>
    <w:rsid w:val="3ADB37B7"/>
    <w:rsid w:val="3ADF0FD7"/>
    <w:rsid w:val="3AFD3846"/>
    <w:rsid w:val="3B0265E6"/>
    <w:rsid w:val="3B143E6F"/>
    <w:rsid w:val="3B400458"/>
    <w:rsid w:val="3B441F41"/>
    <w:rsid w:val="3B452BB3"/>
    <w:rsid w:val="3B47390A"/>
    <w:rsid w:val="3B4D4FEE"/>
    <w:rsid w:val="3B5D1433"/>
    <w:rsid w:val="3B66074C"/>
    <w:rsid w:val="3B6E0271"/>
    <w:rsid w:val="3B873228"/>
    <w:rsid w:val="3B8A781E"/>
    <w:rsid w:val="3BB75A27"/>
    <w:rsid w:val="3BD8116F"/>
    <w:rsid w:val="3BE21EA1"/>
    <w:rsid w:val="3BEE3045"/>
    <w:rsid w:val="3BEE3F83"/>
    <w:rsid w:val="3BF61F3C"/>
    <w:rsid w:val="3C067736"/>
    <w:rsid w:val="3C071260"/>
    <w:rsid w:val="3C114C7F"/>
    <w:rsid w:val="3C3519B4"/>
    <w:rsid w:val="3C406233"/>
    <w:rsid w:val="3C541612"/>
    <w:rsid w:val="3C656458"/>
    <w:rsid w:val="3C6872CD"/>
    <w:rsid w:val="3C7D0E0E"/>
    <w:rsid w:val="3C8A0C37"/>
    <w:rsid w:val="3C8B2027"/>
    <w:rsid w:val="3C933B22"/>
    <w:rsid w:val="3C97550E"/>
    <w:rsid w:val="3CA056C0"/>
    <w:rsid w:val="3CA55987"/>
    <w:rsid w:val="3CA71399"/>
    <w:rsid w:val="3CA81F4D"/>
    <w:rsid w:val="3CB56A3D"/>
    <w:rsid w:val="3CB66C90"/>
    <w:rsid w:val="3CBB45AF"/>
    <w:rsid w:val="3CC33464"/>
    <w:rsid w:val="3CCF005B"/>
    <w:rsid w:val="3CD3651B"/>
    <w:rsid w:val="3CEC2C51"/>
    <w:rsid w:val="3CED2612"/>
    <w:rsid w:val="3CFA4B0B"/>
    <w:rsid w:val="3D1F11BA"/>
    <w:rsid w:val="3D2E667F"/>
    <w:rsid w:val="3D3121AE"/>
    <w:rsid w:val="3D3611B8"/>
    <w:rsid w:val="3D392073"/>
    <w:rsid w:val="3D3E3B8E"/>
    <w:rsid w:val="3D435E1B"/>
    <w:rsid w:val="3D4952D3"/>
    <w:rsid w:val="3D664524"/>
    <w:rsid w:val="3D716F30"/>
    <w:rsid w:val="3D7E6DAC"/>
    <w:rsid w:val="3D850FB6"/>
    <w:rsid w:val="3D8A6929"/>
    <w:rsid w:val="3D96786C"/>
    <w:rsid w:val="3D9F1083"/>
    <w:rsid w:val="3DA05950"/>
    <w:rsid w:val="3DAE325F"/>
    <w:rsid w:val="3DB857BE"/>
    <w:rsid w:val="3DBD3C8A"/>
    <w:rsid w:val="3DC46DEE"/>
    <w:rsid w:val="3DC47494"/>
    <w:rsid w:val="3DC92EDB"/>
    <w:rsid w:val="3DD42114"/>
    <w:rsid w:val="3DE16FA2"/>
    <w:rsid w:val="3DE721EC"/>
    <w:rsid w:val="3E050DF0"/>
    <w:rsid w:val="3E074181"/>
    <w:rsid w:val="3E0E38C3"/>
    <w:rsid w:val="3E20307A"/>
    <w:rsid w:val="3E3B0309"/>
    <w:rsid w:val="3E44260E"/>
    <w:rsid w:val="3E467C35"/>
    <w:rsid w:val="3E6D3687"/>
    <w:rsid w:val="3E864749"/>
    <w:rsid w:val="3E9F5E4E"/>
    <w:rsid w:val="3EAD02BA"/>
    <w:rsid w:val="3EAF25D9"/>
    <w:rsid w:val="3EB219C1"/>
    <w:rsid w:val="3EC57B79"/>
    <w:rsid w:val="3ED4293B"/>
    <w:rsid w:val="3EE63669"/>
    <w:rsid w:val="3EEC2B1F"/>
    <w:rsid w:val="3F0757D4"/>
    <w:rsid w:val="3F0C0E13"/>
    <w:rsid w:val="3F0C714A"/>
    <w:rsid w:val="3F0F2990"/>
    <w:rsid w:val="3F253D28"/>
    <w:rsid w:val="3F40327C"/>
    <w:rsid w:val="3F514186"/>
    <w:rsid w:val="3F542E8D"/>
    <w:rsid w:val="3F581721"/>
    <w:rsid w:val="3F6E0263"/>
    <w:rsid w:val="3F720CB5"/>
    <w:rsid w:val="3F745EC1"/>
    <w:rsid w:val="3F746C6A"/>
    <w:rsid w:val="3F815A92"/>
    <w:rsid w:val="3FA42F82"/>
    <w:rsid w:val="3FAC643B"/>
    <w:rsid w:val="3FB949D7"/>
    <w:rsid w:val="3FBF580A"/>
    <w:rsid w:val="3FC16999"/>
    <w:rsid w:val="3FD5285E"/>
    <w:rsid w:val="3FED5D60"/>
    <w:rsid w:val="3FF132CC"/>
    <w:rsid w:val="400973E0"/>
    <w:rsid w:val="403E5BFA"/>
    <w:rsid w:val="404146EA"/>
    <w:rsid w:val="404C1653"/>
    <w:rsid w:val="40680B92"/>
    <w:rsid w:val="406F0DA8"/>
    <w:rsid w:val="4084115C"/>
    <w:rsid w:val="408669C7"/>
    <w:rsid w:val="40894A65"/>
    <w:rsid w:val="40AA2B73"/>
    <w:rsid w:val="40B732E0"/>
    <w:rsid w:val="40B84370"/>
    <w:rsid w:val="40CE2B42"/>
    <w:rsid w:val="40EA2DC9"/>
    <w:rsid w:val="4100113E"/>
    <w:rsid w:val="41043409"/>
    <w:rsid w:val="41046153"/>
    <w:rsid w:val="41067DC3"/>
    <w:rsid w:val="4114088D"/>
    <w:rsid w:val="411B7E73"/>
    <w:rsid w:val="411E6999"/>
    <w:rsid w:val="41276F8F"/>
    <w:rsid w:val="413B508D"/>
    <w:rsid w:val="413C4817"/>
    <w:rsid w:val="41483F38"/>
    <w:rsid w:val="414B72EC"/>
    <w:rsid w:val="414F2F77"/>
    <w:rsid w:val="41584E34"/>
    <w:rsid w:val="415D4569"/>
    <w:rsid w:val="416C0D6F"/>
    <w:rsid w:val="417E2869"/>
    <w:rsid w:val="4191198B"/>
    <w:rsid w:val="41A51E60"/>
    <w:rsid w:val="41A61FCE"/>
    <w:rsid w:val="41A827A5"/>
    <w:rsid w:val="41B20CD4"/>
    <w:rsid w:val="41BD13CD"/>
    <w:rsid w:val="41C50B64"/>
    <w:rsid w:val="41C87591"/>
    <w:rsid w:val="41D056A4"/>
    <w:rsid w:val="41DD5436"/>
    <w:rsid w:val="41ED5BB1"/>
    <w:rsid w:val="422363B0"/>
    <w:rsid w:val="42354DDC"/>
    <w:rsid w:val="42382DD6"/>
    <w:rsid w:val="425A2175"/>
    <w:rsid w:val="42696ED7"/>
    <w:rsid w:val="426C65EC"/>
    <w:rsid w:val="426D24E5"/>
    <w:rsid w:val="42890CAC"/>
    <w:rsid w:val="428A301F"/>
    <w:rsid w:val="428A5D95"/>
    <w:rsid w:val="429A6A15"/>
    <w:rsid w:val="42A173FF"/>
    <w:rsid w:val="42A87124"/>
    <w:rsid w:val="42B9606F"/>
    <w:rsid w:val="42BB5980"/>
    <w:rsid w:val="42C05912"/>
    <w:rsid w:val="42F0263A"/>
    <w:rsid w:val="42F74FD6"/>
    <w:rsid w:val="430070FD"/>
    <w:rsid w:val="432503F8"/>
    <w:rsid w:val="432C1A71"/>
    <w:rsid w:val="432F1B9E"/>
    <w:rsid w:val="433504EC"/>
    <w:rsid w:val="434E06C4"/>
    <w:rsid w:val="43593DB6"/>
    <w:rsid w:val="4391294E"/>
    <w:rsid w:val="43BC1F1C"/>
    <w:rsid w:val="43C133F3"/>
    <w:rsid w:val="43C63A35"/>
    <w:rsid w:val="43C917FF"/>
    <w:rsid w:val="43D66BC7"/>
    <w:rsid w:val="43F65B0A"/>
    <w:rsid w:val="44062979"/>
    <w:rsid w:val="44083AC7"/>
    <w:rsid w:val="441533A7"/>
    <w:rsid w:val="441E1C44"/>
    <w:rsid w:val="44487C90"/>
    <w:rsid w:val="44584157"/>
    <w:rsid w:val="446865EA"/>
    <w:rsid w:val="44780FD8"/>
    <w:rsid w:val="44937C0D"/>
    <w:rsid w:val="449F335B"/>
    <w:rsid w:val="44C65427"/>
    <w:rsid w:val="44CA6ED0"/>
    <w:rsid w:val="44DE304C"/>
    <w:rsid w:val="45034D88"/>
    <w:rsid w:val="45057F6B"/>
    <w:rsid w:val="450A7EDF"/>
    <w:rsid w:val="450E64ED"/>
    <w:rsid w:val="4565155C"/>
    <w:rsid w:val="45694611"/>
    <w:rsid w:val="4572560F"/>
    <w:rsid w:val="45725E66"/>
    <w:rsid w:val="4576243A"/>
    <w:rsid w:val="458C59EF"/>
    <w:rsid w:val="458D300B"/>
    <w:rsid w:val="459310AD"/>
    <w:rsid w:val="459B11E8"/>
    <w:rsid w:val="45A606E4"/>
    <w:rsid w:val="45AD5368"/>
    <w:rsid w:val="45BB049D"/>
    <w:rsid w:val="45CC153B"/>
    <w:rsid w:val="45D23D6A"/>
    <w:rsid w:val="45E96D2A"/>
    <w:rsid w:val="45EA683B"/>
    <w:rsid w:val="46004DE1"/>
    <w:rsid w:val="460615D7"/>
    <w:rsid w:val="46292FD2"/>
    <w:rsid w:val="462F5E6A"/>
    <w:rsid w:val="4646138E"/>
    <w:rsid w:val="465356C7"/>
    <w:rsid w:val="46753001"/>
    <w:rsid w:val="467F151A"/>
    <w:rsid w:val="46827FE7"/>
    <w:rsid w:val="468A0B4E"/>
    <w:rsid w:val="468D16C6"/>
    <w:rsid w:val="46905C34"/>
    <w:rsid w:val="46A153C1"/>
    <w:rsid w:val="46A534BB"/>
    <w:rsid w:val="46BD5FF7"/>
    <w:rsid w:val="46CB1893"/>
    <w:rsid w:val="46D21C8C"/>
    <w:rsid w:val="46EB597A"/>
    <w:rsid w:val="46F875AC"/>
    <w:rsid w:val="470C0561"/>
    <w:rsid w:val="47122C92"/>
    <w:rsid w:val="472F0C2F"/>
    <w:rsid w:val="473D7394"/>
    <w:rsid w:val="475D4207"/>
    <w:rsid w:val="477D265F"/>
    <w:rsid w:val="478A62C0"/>
    <w:rsid w:val="47971775"/>
    <w:rsid w:val="47BA4746"/>
    <w:rsid w:val="47E131DF"/>
    <w:rsid w:val="47E17130"/>
    <w:rsid w:val="47FD7147"/>
    <w:rsid w:val="48005F26"/>
    <w:rsid w:val="48007F0A"/>
    <w:rsid w:val="48066197"/>
    <w:rsid w:val="48086C57"/>
    <w:rsid w:val="482B265C"/>
    <w:rsid w:val="48305A37"/>
    <w:rsid w:val="483B0352"/>
    <w:rsid w:val="484B5E0C"/>
    <w:rsid w:val="485C35A1"/>
    <w:rsid w:val="489E2D6C"/>
    <w:rsid w:val="48B041E3"/>
    <w:rsid w:val="48C40351"/>
    <w:rsid w:val="48CA5329"/>
    <w:rsid w:val="48FD1AAC"/>
    <w:rsid w:val="490C2B50"/>
    <w:rsid w:val="490D7DE5"/>
    <w:rsid w:val="49151C56"/>
    <w:rsid w:val="4920711A"/>
    <w:rsid w:val="492928A1"/>
    <w:rsid w:val="492C2ED4"/>
    <w:rsid w:val="4942704B"/>
    <w:rsid w:val="49523430"/>
    <w:rsid w:val="497D6F41"/>
    <w:rsid w:val="49877B61"/>
    <w:rsid w:val="49A3559C"/>
    <w:rsid w:val="49C02221"/>
    <w:rsid w:val="49E86D11"/>
    <w:rsid w:val="4A0D3F4B"/>
    <w:rsid w:val="4A1D5957"/>
    <w:rsid w:val="4A2A5BBF"/>
    <w:rsid w:val="4A307878"/>
    <w:rsid w:val="4A3459A1"/>
    <w:rsid w:val="4A3D4346"/>
    <w:rsid w:val="4A3E6BD8"/>
    <w:rsid w:val="4A755ED9"/>
    <w:rsid w:val="4A7A7858"/>
    <w:rsid w:val="4AAE12AF"/>
    <w:rsid w:val="4AB24133"/>
    <w:rsid w:val="4ABE4ED1"/>
    <w:rsid w:val="4AC46D25"/>
    <w:rsid w:val="4AD21E64"/>
    <w:rsid w:val="4AE30074"/>
    <w:rsid w:val="4AF05692"/>
    <w:rsid w:val="4AF81B1F"/>
    <w:rsid w:val="4B0B592B"/>
    <w:rsid w:val="4B100B7D"/>
    <w:rsid w:val="4B2C3442"/>
    <w:rsid w:val="4B312078"/>
    <w:rsid w:val="4B400B9A"/>
    <w:rsid w:val="4B4642F3"/>
    <w:rsid w:val="4B4D2FD2"/>
    <w:rsid w:val="4B522334"/>
    <w:rsid w:val="4B903DD3"/>
    <w:rsid w:val="4B9318F2"/>
    <w:rsid w:val="4B984F82"/>
    <w:rsid w:val="4B9879B5"/>
    <w:rsid w:val="4BA27268"/>
    <w:rsid w:val="4BA91A77"/>
    <w:rsid w:val="4BAE4BCB"/>
    <w:rsid w:val="4BCE35B9"/>
    <w:rsid w:val="4BE2242B"/>
    <w:rsid w:val="4C0A7174"/>
    <w:rsid w:val="4C1403BC"/>
    <w:rsid w:val="4C361558"/>
    <w:rsid w:val="4C474817"/>
    <w:rsid w:val="4C490084"/>
    <w:rsid w:val="4C49285D"/>
    <w:rsid w:val="4C79769B"/>
    <w:rsid w:val="4C88589D"/>
    <w:rsid w:val="4CA2583C"/>
    <w:rsid w:val="4CAB3506"/>
    <w:rsid w:val="4CCA5411"/>
    <w:rsid w:val="4CD64061"/>
    <w:rsid w:val="4CD82BE4"/>
    <w:rsid w:val="4CDE5B99"/>
    <w:rsid w:val="4CE9770E"/>
    <w:rsid w:val="4D1067A5"/>
    <w:rsid w:val="4D1C3AC2"/>
    <w:rsid w:val="4D1F3437"/>
    <w:rsid w:val="4D46134F"/>
    <w:rsid w:val="4D511765"/>
    <w:rsid w:val="4D5315C3"/>
    <w:rsid w:val="4D62461F"/>
    <w:rsid w:val="4D93168E"/>
    <w:rsid w:val="4DB55C61"/>
    <w:rsid w:val="4DCA2ED0"/>
    <w:rsid w:val="4DDF6A0E"/>
    <w:rsid w:val="4DE91540"/>
    <w:rsid w:val="4DEB00D6"/>
    <w:rsid w:val="4E010E92"/>
    <w:rsid w:val="4E0957AE"/>
    <w:rsid w:val="4E0D09E3"/>
    <w:rsid w:val="4E194074"/>
    <w:rsid w:val="4E404914"/>
    <w:rsid w:val="4E413604"/>
    <w:rsid w:val="4E474289"/>
    <w:rsid w:val="4E7A264C"/>
    <w:rsid w:val="4E8C715D"/>
    <w:rsid w:val="4E906E82"/>
    <w:rsid w:val="4E952E91"/>
    <w:rsid w:val="4EA1427A"/>
    <w:rsid w:val="4EB1136E"/>
    <w:rsid w:val="4EB83466"/>
    <w:rsid w:val="4EC75F78"/>
    <w:rsid w:val="4EE21ECA"/>
    <w:rsid w:val="4EE72CF9"/>
    <w:rsid w:val="4EE77526"/>
    <w:rsid w:val="4EE905E6"/>
    <w:rsid w:val="4EEF4CBE"/>
    <w:rsid w:val="4F0701CD"/>
    <w:rsid w:val="4F183F51"/>
    <w:rsid w:val="4F511FB2"/>
    <w:rsid w:val="4F515A41"/>
    <w:rsid w:val="4F622762"/>
    <w:rsid w:val="4F7F0CBD"/>
    <w:rsid w:val="4F803DFA"/>
    <w:rsid w:val="4F831322"/>
    <w:rsid w:val="4FC05495"/>
    <w:rsid w:val="4FC3345B"/>
    <w:rsid w:val="4FD07F1A"/>
    <w:rsid w:val="4FDD5B6C"/>
    <w:rsid w:val="4FDF2E8D"/>
    <w:rsid w:val="4FDF7BC8"/>
    <w:rsid w:val="4FE63299"/>
    <w:rsid w:val="4FF44BC5"/>
    <w:rsid w:val="50054747"/>
    <w:rsid w:val="500C4161"/>
    <w:rsid w:val="501A0388"/>
    <w:rsid w:val="50220711"/>
    <w:rsid w:val="502847C7"/>
    <w:rsid w:val="502C6AEA"/>
    <w:rsid w:val="503C5ABD"/>
    <w:rsid w:val="504727E5"/>
    <w:rsid w:val="504A56D3"/>
    <w:rsid w:val="50687E40"/>
    <w:rsid w:val="506D39BB"/>
    <w:rsid w:val="506F0C9B"/>
    <w:rsid w:val="50715DCE"/>
    <w:rsid w:val="50786B2A"/>
    <w:rsid w:val="507A010F"/>
    <w:rsid w:val="50897E78"/>
    <w:rsid w:val="50A417A0"/>
    <w:rsid w:val="50A852B2"/>
    <w:rsid w:val="50AA2D15"/>
    <w:rsid w:val="50AB7F7F"/>
    <w:rsid w:val="50AF0759"/>
    <w:rsid w:val="50B357DF"/>
    <w:rsid w:val="50B36B51"/>
    <w:rsid w:val="50D77BE1"/>
    <w:rsid w:val="50E41C24"/>
    <w:rsid w:val="50E96732"/>
    <w:rsid w:val="50F22414"/>
    <w:rsid w:val="51035E3F"/>
    <w:rsid w:val="51052310"/>
    <w:rsid w:val="51320B29"/>
    <w:rsid w:val="514307FA"/>
    <w:rsid w:val="514563A8"/>
    <w:rsid w:val="51800222"/>
    <w:rsid w:val="5186094B"/>
    <w:rsid w:val="5186222C"/>
    <w:rsid w:val="518D741E"/>
    <w:rsid w:val="518F6B22"/>
    <w:rsid w:val="51984A67"/>
    <w:rsid w:val="519A6141"/>
    <w:rsid w:val="51C478B5"/>
    <w:rsid w:val="51E25CE3"/>
    <w:rsid w:val="51E666D2"/>
    <w:rsid w:val="51ED105A"/>
    <w:rsid w:val="51F01873"/>
    <w:rsid w:val="52030AD2"/>
    <w:rsid w:val="520707BE"/>
    <w:rsid w:val="52162B0A"/>
    <w:rsid w:val="521D5884"/>
    <w:rsid w:val="52541C84"/>
    <w:rsid w:val="525941F7"/>
    <w:rsid w:val="5279066F"/>
    <w:rsid w:val="5285403C"/>
    <w:rsid w:val="52867E2A"/>
    <w:rsid w:val="5287230E"/>
    <w:rsid w:val="52950877"/>
    <w:rsid w:val="529979BC"/>
    <w:rsid w:val="529A65BD"/>
    <w:rsid w:val="52A552B5"/>
    <w:rsid w:val="52B06380"/>
    <w:rsid w:val="52B2711C"/>
    <w:rsid w:val="52B633F7"/>
    <w:rsid w:val="52B73533"/>
    <w:rsid w:val="52CB4DE5"/>
    <w:rsid w:val="52D05C9E"/>
    <w:rsid w:val="52D84F6A"/>
    <w:rsid w:val="52EB1F24"/>
    <w:rsid w:val="52F90843"/>
    <w:rsid w:val="531C1EB0"/>
    <w:rsid w:val="531D1A17"/>
    <w:rsid w:val="53442347"/>
    <w:rsid w:val="534975D0"/>
    <w:rsid w:val="53575BB6"/>
    <w:rsid w:val="53691B76"/>
    <w:rsid w:val="536922FB"/>
    <w:rsid w:val="536B25A4"/>
    <w:rsid w:val="53794425"/>
    <w:rsid w:val="537F5EDF"/>
    <w:rsid w:val="53806F03"/>
    <w:rsid w:val="53A136DC"/>
    <w:rsid w:val="53BB4C57"/>
    <w:rsid w:val="53C72F1A"/>
    <w:rsid w:val="53CF39D6"/>
    <w:rsid w:val="53EE6BAF"/>
    <w:rsid w:val="53EF6E32"/>
    <w:rsid w:val="53F13CE1"/>
    <w:rsid w:val="543144A1"/>
    <w:rsid w:val="54325F84"/>
    <w:rsid w:val="543F741C"/>
    <w:rsid w:val="5442746D"/>
    <w:rsid w:val="544F34C3"/>
    <w:rsid w:val="54574805"/>
    <w:rsid w:val="545B390B"/>
    <w:rsid w:val="54651E4F"/>
    <w:rsid w:val="5483445C"/>
    <w:rsid w:val="54AA73DF"/>
    <w:rsid w:val="54AE38E5"/>
    <w:rsid w:val="54B84EFF"/>
    <w:rsid w:val="54B9682B"/>
    <w:rsid w:val="54BC2CA2"/>
    <w:rsid w:val="54C142D5"/>
    <w:rsid w:val="54D07D42"/>
    <w:rsid w:val="54D9766C"/>
    <w:rsid w:val="54DD2784"/>
    <w:rsid w:val="54DE7FF1"/>
    <w:rsid w:val="54F22EF6"/>
    <w:rsid w:val="54F47620"/>
    <w:rsid w:val="54FA5DFC"/>
    <w:rsid w:val="55206A84"/>
    <w:rsid w:val="55414833"/>
    <w:rsid w:val="55574435"/>
    <w:rsid w:val="55584D5B"/>
    <w:rsid w:val="55700D91"/>
    <w:rsid w:val="5589216C"/>
    <w:rsid w:val="558C325A"/>
    <w:rsid w:val="55943798"/>
    <w:rsid w:val="55952947"/>
    <w:rsid w:val="55AD39BA"/>
    <w:rsid w:val="55CC5D5C"/>
    <w:rsid w:val="55D91659"/>
    <w:rsid w:val="55DD3103"/>
    <w:rsid w:val="55E40809"/>
    <w:rsid w:val="55EE4C56"/>
    <w:rsid w:val="55FB3DF7"/>
    <w:rsid w:val="5600562F"/>
    <w:rsid w:val="56164443"/>
    <w:rsid w:val="563F579E"/>
    <w:rsid w:val="56463D73"/>
    <w:rsid w:val="564D1964"/>
    <w:rsid w:val="564E6BFF"/>
    <w:rsid w:val="565C6063"/>
    <w:rsid w:val="566D78B4"/>
    <w:rsid w:val="567315FF"/>
    <w:rsid w:val="56732835"/>
    <w:rsid w:val="56896A32"/>
    <w:rsid w:val="56933A4F"/>
    <w:rsid w:val="569C0CD0"/>
    <w:rsid w:val="56B41CA7"/>
    <w:rsid w:val="56BC7FA7"/>
    <w:rsid w:val="56BD066A"/>
    <w:rsid w:val="56F72406"/>
    <w:rsid w:val="570B7596"/>
    <w:rsid w:val="570C3310"/>
    <w:rsid w:val="571A7346"/>
    <w:rsid w:val="573570BA"/>
    <w:rsid w:val="573861AD"/>
    <w:rsid w:val="575E0B48"/>
    <w:rsid w:val="57740368"/>
    <w:rsid w:val="578C5308"/>
    <w:rsid w:val="578E6C70"/>
    <w:rsid w:val="578F5B07"/>
    <w:rsid w:val="579575EB"/>
    <w:rsid w:val="57A10EB9"/>
    <w:rsid w:val="57A47B2A"/>
    <w:rsid w:val="57AA1051"/>
    <w:rsid w:val="57AD035A"/>
    <w:rsid w:val="57AE2616"/>
    <w:rsid w:val="57E1616A"/>
    <w:rsid w:val="57E222E4"/>
    <w:rsid w:val="580F22C1"/>
    <w:rsid w:val="583314E9"/>
    <w:rsid w:val="58386832"/>
    <w:rsid w:val="58396290"/>
    <w:rsid w:val="583B26C8"/>
    <w:rsid w:val="583D2821"/>
    <w:rsid w:val="58487C3A"/>
    <w:rsid w:val="585B668E"/>
    <w:rsid w:val="58702280"/>
    <w:rsid w:val="587832AB"/>
    <w:rsid w:val="589C45EC"/>
    <w:rsid w:val="58A81A34"/>
    <w:rsid w:val="58B00F4E"/>
    <w:rsid w:val="58CA2D21"/>
    <w:rsid w:val="58DF241C"/>
    <w:rsid w:val="58F85DEC"/>
    <w:rsid w:val="590254DC"/>
    <w:rsid w:val="590961FC"/>
    <w:rsid w:val="5918676E"/>
    <w:rsid w:val="591F772A"/>
    <w:rsid w:val="5927766A"/>
    <w:rsid w:val="592D6F44"/>
    <w:rsid w:val="5947124D"/>
    <w:rsid w:val="596A45AF"/>
    <w:rsid w:val="598C074D"/>
    <w:rsid w:val="599B2CA8"/>
    <w:rsid w:val="59A60AFF"/>
    <w:rsid w:val="59A72E7B"/>
    <w:rsid w:val="59B64B0A"/>
    <w:rsid w:val="59BA03AC"/>
    <w:rsid w:val="59C363FA"/>
    <w:rsid w:val="59D538CC"/>
    <w:rsid w:val="59E14081"/>
    <w:rsid w:val="59E53725"/>
    <w:rsid w:val="59EC4248"/>
    <w:rsid w:val="59F84304"/>
    <w:rsid w:val="5A015A62"/>
    <w:rsid w:val="5A0D38A2"/>
    <w:rsid w:val="5A1425E2"/>
    <w:rsid w:val="5A34396E"/>
    <w:rsid w:val="5A346ABC"/>
    <w:rsid w:val="5A651785"/>
    <w:rsid w:val="5A701F43"/>
    <w:rsid w:val="5A733A5E"/>
    <w:rsid w:val="5A86061C"/>
    <w:rsid w:val="5A8B5974"/>
    <w:rsid w:val="5A996903"/>
    <w:rsid w:val="5A9B4926"/>
    <w:rsid w:val="5AA4733F"/>
    <w:rsid w:val="5AB56663"/>
    <w:rsid w:val="5AC86821"/>
    <w:rsid w:val="5ACA0DAA"/>
    <w:rsid w:val="5AEC4883"/>
    <w:rsid w:val="5AF17600"/>
    <w:rsid w:val="5AFB2832"/>
    <w:rsid w:val="5B167803"/>
    <w:rsid w:val="5B1A64ED"/>
    <w:rsid w:val="5B1B6FAD"/>
    <w:rsid w:val="5B4041A6"/>
    <w:rsid w:val="5B4B610B"/>
    <w:rsid w:val="5B7F2398"/>
    <w:rsid w:val="5B81168D"/>
    <w:rsid w:val="5B8D38CA"/>
    <w:rsid w:val="5BA05DB4"/>
    <w:rsid w:val="5BB430D6"/>
    <w:rsid w:val="5BC37360"/>
    <w:rsid w:val="5C091820"/>
    <w:rsid w:val="5C1B7877"/>
    <w:rsid w:val="5C245113"/>
    <w:rsid w:val="5C4F735A"/>
    <w:rsid w:val="5C5662C9"/>
    <w:rsid w:val="5C630774"/>
    <w:rsid w:val="5C6F4C39"/>
    <w:rsid w:val="5C766313"/>
    <w:rsid w:val="5C83328F"/>
    <w:rsid w:val="5C9411A6"/>
    <w:rsid w:val="5C974299"/>
    <w:rsid w:val="5C9B7207"/>
    <w:rsid w:val="5CA27272"/>
    <w:rsid w:val="5CB309A7"/>
    <w:rsid w:val="5CD04B13"/>
    <w:rsid w:val="5CD176E7"/>
    <w:rsid w:val="5CE229C6"/>
    <w:rsid w:val="5D0362FE"/>
    <w:rsid w:val="5D085D78"/>
    <w:rsid w:val="5D165DC5"/>
    <w:rsid w:val="5D187CD6"/>
    <w:rsid w:val="5D194729"/>
    <w:rsid w:val="5D2D0F82"/>
    <w:rsid w:val="5D32149F"/>
    <w:rsid w:val="5D4F0786"/>
    <w:rsid w:val="5D60668B"/>
    <w:rsid w:val="5D6E78AE"/>
    <w:rsid w:val="5D944796"/>
    <w:rsid w:val="5D9D0A3C"/>
    <w:rsid w:val="5DA2476A"/>
    <w:rsid w:val="5DA55366"/>
    <w:rsid w:val="5DCE4B25"/>
    <w:rsid w:val="5DE0696A"/>
    <w:rsid w:val="5E0B55B7"/>
    <w:rsid w:val="5E103C96"/>
    <w:rsid w:val="5E1774EB"/>
    <w:rsid w:val="5E18450A"/>
    <w:rsid w:val="5E187BC4"/>
    <w:rsid w:val="5E457D25"/>
    <w:rsid w:val="5E4F090C"/>
    <w:rsid w:val="5E57774C"/>
    <w:rsid w:val="5E5A322B"/>
    <w:rsid w:val="5E5B23E8"/>
    <w:rsid w:val="5E5D6DA2"/>
    <w:rsid w:val="5E6503D3"/>
    <w:rsid w:val="5E6622D2"/>
    <w:rsid w:val="5E773F1B"/>
    <w:rsid w:val="5E9B7945"/>
    <w:rsid w:val="5EA46851"/>
    <w:rsid w:val="5EAA2B23"/>
    <w:rsid w:val="5EAB1CC4"/>
    <w:rsid w:val="5EB57DD4"/>
    <w:rsid w:val="5EBB58F8"/>
    <w:rsid w:val="5EBC4145"/>
    <w:rsid w:val="5ECB7640"/>
    <w:rsid w:val="5ED160A5"/>
    <w:rsid w:val="5EDB3502"/>
    <w:rsid w:val="5EEE3F83"/>
    <w:rsid w:val="5EF14C75"/>
    <w:rsid w:val="5EF268E6"/>
    <w:rsid w:val="5EF94797"/>
    <w:rsid w:val="5EFF3501"/>
    <w:rsid w:val="5F0044CC"/>
    <w:rsid w:val="5F047E93"/>
    <w:rsid w:val="5F0E228A"/>
    <w:rsid w:val="5F10726B"/>
    <w:rsid w:val="5F184544"/>
    <w:rsid w:val="5F1E27A5"/>
    <w:rsid w:val="5F226CAA"/>
    <w:rsid w:val="5F396946"/>
    <w:rsid w:val="5F584D59"/>
    <w:rsid w:val="5F5E2027"/>
    <w:rsid w:val="5F620BB2"/>
    <w:rsid w:val="5F625C99"/>
    <w:rsid w:val="5F6D7E02"/>
    <w:rsid w:val="5F7E521A"/>
    <w:rsid w:val="5F823074"/>
    <w:rsid w:val="5F9167AE"/>
    <w:rsid w:val="5F963CDE"/>
    <w:rsid w:val="5FA21C59"/>
    <w:rsid w:val="5FDA1E90"/>
    <w:rsid w:val="5FE901EC"/>
    <w:rsid w:val="5FF54EA7"/>
    <w:rsid w:val="5FFD29EF"/>
    <w:rsid w:val="6011690C"/>
    <w:rsid w:val="6012078B"/>
    <w:rsid w:val="601841D6"/>
    <w:rsid w:val="601908CA"/>
    <w:rsid w:val="60221377"/>
    <w:rsid w:val="602A71D2"/>
    <w:rsid w:val="6042508C"/>
    <w:rsid w:val="606E5E7E"/>
    <w:rsid w:val="606F293E"/>
    <w:rsid w:val="60773F41"/>
    <w:rsid w:val="60880889"/>
    <w:rsid w:val="608E7761"/>
    <w:rsid w:val="609E574C"/>
    <w:rsid w:val="60A36EC9"/>
    <w:rsid w:val="60B23781"/>
    <w:rsid w:val="60B71F0D"/>
    <w:rsid w:val="60D01031"/>
    <w:rsid w:val="60D263E2"/>
    <w:rsid w:val="60DE2D67"/>
    <w:rsid w:val="60DE6A80"/>
    <w:rsid w:val="60F70724"/>
    <w:rsid w:val="61022CE8"/>
    <w:rsid w:val="610B5DF0"/>
    <w:rsid w:val="610F23F1"/>
    <w:rsid w:val="61334250"/>
    <w:rsid w:val="614A0057"/>
    <w:rsid w:val="61567AE4"/>
    <w:rsid w:val="615D7ECB"/>
    <w:rsid w:val="618D05FD"/>
    <w:rsid w:val="619363FA"/>
    <w:rsid w:val="61A9253A"/>
    <w:rsid w:val="61B73DDE"/>
    <w:rsid w:val="61D557F0"/>
    <w:rsid w:val="61E020AD"/>
    <w:rsid w:val="61F244D1"/>
    <w:rsid w:val="620D2D47"/>
    <w:rsid w:val="62517F49"/>
    <w:rsid w:val="625B55C7"/>
    <w:rsid w:val="625E37C8"/>
    <w:rsid w:val="628232F6"/>
    <w:rsid w:val="6289231A"/>
    <w:rsid w:val="6295512C"/>
    <w:rsid w:val="62AC549E"/>
    <w:rsid w:val="62AD44D4"/>
    <w:rsid w:val="62B82E4F"/>
    <w:rsid w:val="62C91D45"/>
    <w:rsid w:val="62CE3151"/>
    <w:rsid w:val="62E1388E"/>
    <w:rsid w:val="632B0204"/>
    <w:rsid w:val="632C7E56"/>
    <w:rsid w:val="632D7850"/>
    <w:rsid w:val="632F168F"/>
    <w:rsid w:val="63483AA5"/>
    <w:rsid w:val="63857A29"/>
    <w:rsid w:val="63A5425A"/>
    <w:rsid w:val="63AC081F"/>
    <w:rsid w:val="63AC17F4"/>
    <w:rsid w:val="63AD3E79"/>
    <w:rsid w:val="63AE24D8"/>
    <w:rsid w:val="63AE66F1"/>
    <w:rsid w:val="63B131AB"/>
    <w:rsid w:val="63C80B17"/>
    <w:rsid w:val="63CF6CB6"/>
    <w:rsid w:val="63D95824"/>
    <w:rsid w:val="63DF6B70"/>
    <w:rsid w:val="640276BA"/>
    <w:rsid w:val="643423CE"/>
    <w:rsid w:val="64352584"/>
    <w:rsid w:val="64357EF4"/>
    <w:rsid w:val="6444106B"/>
    <w:rsid w:val="645754BF"/>
    <w:rsid w:val="647A640F"/>
    <w:rsid w:val="64AB1F62"/>
    <w:rsid w:val="64B0211E"/>
    <w:rsid w:val="64C47847"/>
    <w:rsid w:val="64D11C9D"/>
    <w:rsid w:val="65064BA1"/>
    <w:rsid w:val="65093A77"/>
    <w:rsid w:val="65654809"/>
    <w:rsid w:val="65715128"/>
    <w:rsid w:val="65741D1A"/>
    <w:rsid w:val="658253BB"/>
    <w:rsid w:val="659742EC"/>
    <w:rsid w:val="65AE01F9"/>
    <w:rsid w:val="65AF68E4"/>
    <w:rsid w:val="65D15AA6"/>
    <w:rsid w:val="65DE1A3F"/>
    <w:rsid w:val="65EE0223"/>
    <w:rsid w:val="660D75BA"/>
    <w:rsid w:val="663B77E2"/>
    <w:rsid w:val="665B14DC"/>
    <w:rsid w:val="66662B24"/>
    <w:rsid w:val="66671773"/>
    <w:rsid w:val="66743D71"/>
    <w:rsid w:val="668D4017"/>
    <w:rsid w:val="66961D05"/>
    <w:rsid w:val="66976955"/>
    <w:rsid w:val="66B71767"/>
    <w:rsid w:val="66DB4A1E"/>
    <w:rsid w:val="66F61A4B"/>
    <w:rsid w:val="67132D84"/>
    <w:rsid w:val="671D5D3B"/>
    <w:rsid w:val="672229B1"/>
    <w:rsid w:val="67373DA4"/>
    <w:rsid w:val="673A4363"/>
    <w:rsid w:val="673D5A3D"/>
    <w:rsid w:val="674A2093"/>
    <w:rsid w:val="674E563C"/>
    <w:rsid w:val="675A4412"/>
    <w:rsid w:val="676E6F80"/>
    <w:rsid w:val="676E707D"/>
    <w:rsid w:val="677816CF"/>
    <w:rsid w:val="67782E11"/>
    <w:rsid w:val="6783434D"/>
    <w:rsid w:val="6784194E"/>
    <w:rsid w:val="678B542E"/>
    <w:rsid w:val="67957627"/>
    <w:rsid w:val="67BA7DB7"/>
    <w:rsid w:val="67BD56F7"/>
    <w:rsid w:val="67D25874"/>
    <w:rsid w:val="67DE470E"/>
    <w:rsid w:val="67E60BCD"/>
    <w:rsid w:val="67F646BC"/>
    <w:rsid w:val="67F763F3"/>
    <w:rsid w:val="67FC3E1A"/>
    <w:rsid w:val="68090DB0"/>
    <w:rsid w:val="6821710D"/>
    <w:rsid w:val="68270CF0"/>
    <w:rsid w:val="68322010"/>
    <w:rsid w:val="683C4FD4"/>
    <w:rsid w:val="683D37BC"/>
    <w:rsid w:val="6843157E"/>
    <w:rsid w:val="684F0423"/>
    <w:rsid w:val="685301B0"/>
    <w:rsid w:val="68841C0E"/>
    <w:rsid w:val="68B35045"/>
    <w:rsid w:val="68B735CD"/>
    <w:rsid w:val="68B910F3"/>
    <w:rsid w:val="68D06FB7"/>
    <w:rsid w:val="68D157BD"/>
    <w:rsid w:val="690B24D8"/>
    <w:rsid w:val="6910780F"/>
    <w:rsid w:val="692A78CC"/>
    <w:rsid w:val="692E458C"/>
    <w:rsid w:val="693A7172"/>
    <w:rsid w:val="694913B4"/>
    <w:rsid w:val="69501F29"/>
    <w:rsid w:val="695B05FC"/>
    <w:rsid w:val="69995BFD"/>
    <w:rsid w:val="69A246EB"/>
    <w:rsid w:val="69A91168"/>
    <w:rsid w:val="69AE318A"/>
    <w:rsid w:val="69BB4FDA"/>
    <w:rsid w:val="69C95DFD"/>
    <w:rsid w:val="6A0C7949"/>
    <w:rsid w:val="6A1F119C"/>
    <w:rsid w:val="6A22164D"/>
    <w:rsid w:val="6A24611A"/>
    <w:rsid w:val="6A273223"/>
    <w:rsid w:val="6A30060E"/>
    <w:rsid w:val="6A372001"/>
    <w:rsid w:val="6A4618AF"/>
    <w:rsid w:val="6A462E5B"/>
    <w:rsid w:val="6A4E1AAA"/>
    <w:rsid w:val="6A5E5EB7"/>
    <w:rsid w:val="6A606B11"/>
    <w:rsid w:val="6A6866CD"/>
    <w:rsid w:val="6A776962"/>
    <w:rsid w:val="6A780094"/>
    <w:rsid w:val="6A7A2C53"/>
    <w:rsid w:val="6AA13BCE"/>
    <w:rsid w:val="6AA92D07"/>
    <w:rsid w:val="6AB73681"/>
    <w:rsid w:val="6AC81EAE"/>
    <w:rsid w:val="6AE648E2"/>
    <w:rsid w:val="6AE734E1"/>
    <w:rsid w:val="6AEE1908"/>
    <w:rsid w:val="6B0561E4"/>
    <w:rsid w:val="6B2B52BE"/>
    <w:rsid w:val="6B301415"/>
    <w:rsid w:val="6B4751B5"/>
    <w:rsid w:val="6B4C07EA"/>
    <w:rsid w:val="6B506220"/>
    <w:rsid w:val="6B5F7207"/>
    <w:rsid w:val="6B6828C1"/>
    <w:rsid w:val="6B765CB6"/>
    <w:rsid w:val="6B905DD2"/>
    <w:rsid w:val="6B945E48"/>
    <w:rsid w:val="6BCE0CC9"/>
    <w:rsid w:val="6BDE596F"/>
    <w:rsid w:val="6BE6558D"/>
    <w:rsid w:val="6BF2460F"/>
    <w:rsid w:val="6BF276EA"/>
    <w:rsid w:val="6C0422DB"/>
    <w:rsid w:val="6C0905E4"/>
    <w:rsid w:val="6C1B1D6A"/>
    <w:rsid w:val="6C2C706C"/>
    <w:rsid w:val="6C374EB0"/>
    <w:rsid w:val="6C3F64CD"/>
    <w:rsid w:val="6C6D5626"/>
    <w:rsid w:val="6C723D3E"/>
    <w:rsid w:val="6C8400D4"/>
    <w:rsid w:val="6C890F85"/>
    <w:rsid w:val="6C8E6D3B"/>
    <w:rsid w:val="6C936D0E"/>
    <w:rsid w:val="6CA05230"/>
    <w:rsid w:val="6CB00A5F"/>
    <w:rsid w:val="6CB2436F"/>
    <w:rsid w:val="6CB94169"/>
    <w:rsid w:val="6CC764AF"/>
    <w:rsid w:val="6CDB6E8A"/>
    <w:rsid w:val="6CDD6B6E"/>
    <w:rsid w:val="6CE2761F"/>
    <w:rsid w:val="6CE42852"/>
    <w:rsid w:val="6CE60AD8"/>
    <w:rsid w:val="6D126804"/>
    <w:rsid w:val="6D255513"/>
    <w:rsid w:val="6D27646F"/>
    <w:rsid w:val="6D39034F"/>
    <w:rsid w:val="6D5444AE"/>
    <w:rsid w:val="6D5676C6"/>
    <w:rsid w:val="6D805198"/>
    <w:rsid w:val="6D924C0C"/>
    <w:rsid w:val="6DCA2192"/>
    <w:rsid w:val="6DDF6A3C"/>
    <w:rsid w:val="6DEA11C3"/>
    <w:rsid w:val="6E1118E7"/>
    <w:rsid w:val="6E213C99"/>
    <w:rsid w:val="6E2A6489"/>
    <w:rsid w:val="6E2A7C61"/>
    <w:rsid w:val="6E40454C"/>
    <w:rsid w:val="6E6069E3"/>
    <w:rsid w:val="6E677844"/>
    <w:rsid w:val="6E8A2F09"/>
    <w:rsid w:val="6EAC5D77"/>
    <w:rsid w:val="6EB50FC8"/>
    <w:rsid w:val="6EB56801"/>
    <w:rsid w:val="6EC449EC"/>
    <w:rsid w:val="6EEB3730"/>
    <w:rsid w:val="6F02214B"/>
    <w:rsid w:val="6F022E04"/>
    <w:rsid w:val="6F196D90"/>
    <w:rsid w:val="6F24346F"/>
    <w:rsid w:val="6F280D81"/>
    <w:rsid w:val="6F286877"/>
    <w:rsid w:val="6F356703"/>
    <w:rsid w:val="6F481FBF"/>
    <w:rsid w:val="6F5C7BDF"/>
    <w:rsid w:val="6F633AB8"/>
    <w:rsid w:val="6F775BD3"/>
    <w:rsid w:val="6F8779FC"/>
    <w:rsid w:val="6F936521"/>
    <w:rsid w:val="6F960172"/>
    <w:rsid w:val="6F9735B3"/>
    <w:rsid w:val="6F99063E"/>
    <w:rsid w:val="6FA05350"/>
    <w:rsid w:val="6FA67EF8"/>
    <w:rsid w:val="6FBE53DB"/>
    <w:rsid w:val="6FC400F4"/>
    <w:rsid w:val="6FCD57A6"/>
    <w:rsid w:val="6FD40310"/>
    <w:rsid w:val="6FE63CDE"/>
    <w:rsid w:val="6FF533D0"/>
    <w:rsid w:val="700528C2"/>
    <w:rsid w:val="704821BF"/>
    <w:rsid w:val="705B0CE2"/>
    <w:rsid w:val="705F07D2"/>
    <w:rsid w:val="70755CD2"/>
    <w:rsid w:val="708527D5"/>
    <w:rsid w:val="709D3361"/>
    <w:rsid w:val="709F2264"/>
    <w:rsid w:val="70C15270"/>
    <w:rsid w:val="70D07922"/>
    <w:rsid w:val="70D2369A"/>
    <w:rsid w:val="70DA701D"/>
    <w:rsid w:val="70ED2BB2"/>
    <w:rsid w:val="70F53ED1"/>
    <w:rsid w:val="70F8316D"/>
    <w:rsid w:val="710263AE"/>
    <w:rsid w:val="711041C2"/>
    <w:rsid w:val="71242E61"/>
    <w:rsid w:val="7135093C"/>
    <w:rsid w:val="71494DE5"/>
    <w:rsid w:val="714A678D"/>
    <w:rsid w:val="714B1313"/>
    <w:rsid w:val="71525B68"/>
    <w:rsid w:val="71535E5D"/>
    <w:rsid w:val="715F4BC7"/>
    <w:rsid w:val="715F7B43"/>
    <w:rsid w:val="715F7F90"/>
    <w:rsid w:val="716D2549"/>
    <w:rsid w:val="717007BD"/>
    <w:rsid w:val="718129CA"/>
    <w:rsid w:val="7189494A"/>
    <w:rsid w:val="71894F93"/>
    <w:rsid w:val="71A558AC"/>
    <w:rsid w:val="71A705F9"/>
    <w:rsid w:val="71B567F8"/>
    <w:rsid w:val="71C52B52"/>
    <w:rsid w:val="71DA45A0"/>
    <w:rsid w:val="72003C5D"/>
    <w:rsid w:val="721B7CF6"/>
    <w:rsid w:val="7239799D"/>
    <w:rsid w:val="724265E4"/>
    <w:rsid w:val="72432CE7"/>
    <w:rsid w:val="72505F10"/>
    <w:rsid w:val="725119FE"/>
    <w:rsid w:val="72AD18FA"/>
    <w:rsid w:val="72B166CF"/>
    <w:rsid w:val="72B90EFB"/>
    <w:rsid w:val="72CA4987"/>
    <w:rsid w:val="72FD2721"/>
    <w:rsid w:val="73072A7A"/>
    <w:rsid w:val="730D0312"/>
    <w:rsid w:val="73136A7B"/>
    <w:rsid w:val="73217BC8"/>
    <w:rsid w:val="73262E20"/>
    <w:rsid w:val="733C54E4"/>
    <w:rsid w:val="73502E79"/>
    <w:rsid w:val="735D2FC3"/>
    <w:rsid w:val="73784C99"/>
    <w:rsid w:val="738041E5"/>
    <w:rsid w:val="73815F72"/>
    <w:rsid w:val="73892B25"/>
    <w:rsid w:val="739351FC"/>
    <w:rsid w:val="7394143C"/>
    <w:rsid w:val="73944C37"/>
    <w:rsid w:val="73A36AB1"/>
    <w:rsid w:val="73A70394"/>
    <w:rsid w:val="73AA26AC"/>
    <w:rsid w:val="73AB3AE6"/>
    <w:rsid w:val="73CA68AB"/>
    <w:rsid w:val="73CC5EB4"/>
    <w:rsid w:val="73D353A1"/>
    <w:rsid w:val="73DE5B3C"/>
    <w:rsid w:val="73E8090C"/>
    <w:rsid w:val="74087593"/>
    <w:rsid w:val="74092195"/>
    <w:rsid w:val="7444700D"/>
    <w:rsid w:val="74576608"/>
    <w:rsid w:val="7474553C"/>
    <w:rsid w:val="74A215D5"/>
    <w:rsid w:val="74A51F60"/>
    <w:rsid w:val="74A62681"/>
    <w:rsid w:val="74AA04C3"/>
    <w:rsid w:val="74AF7C0A"/>
    <w:rsid w:val="74BA17C4"/>
    <w:rsid w:val="74D31545"/>
    <w:rsid w:val="74E84C06"/>
    <w:rsid w:val="74EE18B1"/>
    <w:rsid w:val="74FB4819"/>
    <w:rsid w:val="74FC5C7E"/>
    <w:rsid w:val="75082B24"/>
    <w:rsid w:val="751B43A3"/>
    <w:rsid w:val="751F4E5C"/>
    <w:rsid w:val="752B0845"/>
    <w:rsid w:val="754E7DE2"/>
    <w:rsid w:val="758349C3"/>
    <w:rsid w:val="75896F77"/>
    <w:rsid w:val="758D2614"/>
    <w:rsid w:val="759908DD"/>
    <w:rsid w:val="759F4CBD"/>
    <w:rsid w:val="75A84C67"/>
    <w:rsid w:val="75AC3C3A"/>
    <w:rsid w:val="75CD7DCD"/>
    <w:rsid w:val="75D20FA5"/>
    <w:rsid w:val="75D35A3A"/>
    <w:rsid w:val="75D831EF"/>
    <w:rsid w:val="75E875B4"/>
    <w:rsid w:val="75ED537A"/>
    <w:rsid w:val="7606696A"/>
    <w:rsid w:val="76126817"/>
    <w:rsid w:val="761A27E1"/>
    <w:rsid w:val="761D1FBA"/>
    <w:rsid w:val="762A0487"/>
    <w:rsid w:val="762E6831"/>
    <w:rsid w:val="763533D3"/>
    <w:rsid w:val="7644655E"/>
    <w:rsid w:val="764C138E"/>
    <w:rsid w:val="764F36AB"/>
    <w:rsid w:val="76587C54"/>
    <w:rsid w:val="766760F0"/>
    <w:rsid w:val="768A5F1C"/>
    <w:rsid w:val="768E053E"/>
    <w:rsid w:val="769466CE"/>
    <w:rsid w:val="7698224E"/>
    <w:rsid w:val="76A827A7"/>
    <w:rsid w:val="76C75323"/>
    <w:rsid w:val="76DA338B"/>
    <w:rsid w:val="76DE662A"/>
    <w:rsid w:val="76EF498E"/>
    <w:rsid w:val="77107B88"/>
    <w:rsid w:val="771A1C53"/>
    <w:rsid w:val="772B5915"/>
    <w:rsid w:val="7750176B"/>
    <w:rsid w:val="775240E9"/>
    <w:rsid w:val="77550B81"/>
    <w:rsid w:val="77734FB3"/>
    <w:rsid w:val="77882D05"/>
    <w:rsid w:val="778A2F0E"/>
    <w:rsid w:val="778C32EC"/>
    <w:rsid w:val="77A07952"/>
    <w:rsid w:val="77BF6E55"/>
    <w:rsid w:val="77C45C0E"/>
    <w:rsid w:val="77E36D4C"/>
    <w:rsid w:val="77E810B3"/>
    <w:rsid w:val="77EC1993"/>
    <w:rsid w:val="77F308E6"/>
    <w:rsid w:val="780E64E4"/>
    <w:rsid w:val="78177844"/>
    <w:rsid w:val="7819395D"/>
    <w:rsid w:val="781B08C4"/>
    <w:rsid w:val="78206744"/>
    <w:rsid w:val="78253B43"/>
    <w:rsid w:val="782F743D"/>
    <w:rsid w:val="785E2179"/>
    <w:rsid w:val="787147B4"/>
    <w:rsid w:val="78770CCF"/>
    <w:rsid w:val="787E5EB6"/>
    <w:rsid w:val="78941D28"/>
    <w:rsid w:val="78A5376D"/>
    <w:rsid w:val="78A96637"/>
    <w:rsid w:val="78AD3EB1"/>
    <w:rsid w:val="78B1207B"/>
    <w:rsid w:val="78C1468A"/>
    <w:rsid w:val="78D43C1E"/>
    <w:rsid w:val="78E0447A"/>
    <w:rsid w:val="78EB5A57"/>
    <w:rsid w:val="78F63C9E"/>
    <w:rsid w:val="78F65192"/>
    <w:rsid w:val="7902346B"/>
    <w:rsid w:val="793378CE"/>
    <w:rsid w:val="795814B0"/>
    <w:rsid w:val="796A2439"/>
    <w:rsid w:val="796F035B"/>
    <w:rsid w:val="79AF7BBD"/>
    <w:rsid w:val="79BF480D"/>
    <w:rsid w:val="79D11E36"/>
    <w:rsid w:val="79D7473C"/>
    <w:rsid w:val="79DF3977"/>
    <w:rsid w:val="79FF3FFE"/>
    <w:rsid w:val="7A100D8F"/>
    <w:rsid w:val="7A163BDB"/>
    <w:rsid w:val="7A3134B4"/>
    <w:rsid w:val="7A325402"/>
    <w:rsid w:val="7A3B71D3"/>
    <w:rsid w:val="7A412AB0"/>
    <w:rsid w:val="7A460C55"/>
    <w:rsid w:val="7A653362"/>
    <w:rsid w:val="7A6743B8"/>
    <w:rsid w:val="7A734A7E"/>
    <w:rsid w:val="7A8467B3"/>
    <w:rsid w:val="7A871B28"/>
    <w:rsid w:val="7A986F29"/>
    <w:rsid w:val="7AB84553"/>
    <w:rsid w:val="7ABE45DC"/>
    <w:rsid w:val="7AE14704"/>
    <w:rsid w:val="7AEF309B"/>
    <w:rsid w:val="7AF35E6C"/>
    <w:rsid w:val="7AF61DF4"/>
    <w:rsid w:val="7B020304"/>
    <w:rsid w:val="7B097567"/>
    <w:rsid w:val="7B0C59B4"/>
    <w:rsid w:val="7B1D20B5"/>
    <w:rsid w:val="7B374272"/>
    <w:rsid w:val="7B4F465D"/>
    <w:rsid w:val="7B963B66"/>
    <w:rsid w:val="7BA1211A"/>
    <w:rsid w:val="7BAD4E11"/>
    <w:rsid w:val="7BC130AF"/>
    <w:rsid w:val="7BCF1FF7"/>
    <w:rsid w:val="7BD031EF"/>
    <w:rsid w:val="7BD20C24"/>
    <w:rsid w:val="7BDE174A"/>
    <w:rsid w:val="7BF149AC"/>
    <w:rsid w:val="7BF321EC"/>
    <w:rsid w:val="7BFA6408"/>
    <w:rsid w:val="7C1665EC"/>
    <w:rsid w:val="7C1C4B9B"/>
    <w:rsid w:val="7C241CA2"/>
    <w:rsid w:val="7C4116A4"/>
    <w:rsid w:val="7C44693F"/>
    <w:rsid w:val="7C701FB9"/>
    <w:rsid w:val="7C712ED1"/>
    <w:rsid w:val="7C7809B9"/>
    <w:rsid w:val="7C8F7B03"/>
    <w:rsid w:val="7CA23467"/>
    <w:rsid w:val="7CAE3924"/>
    <w:rsid w:val="7CAF27C5"/>
    <w:rsid w:val="7CB04CE6"/>
    <w:rsid w:val="7CC01BA5"/>
    <w:rsid w:val="7CC03FA1"/>
    <w:rsid w:val="7CC15654"/>
    <w:rsid w:val="7CCA3477"/>
    <w:rsid w:val="7D090612"/>
    <w:rsid w:val="7D090CC2"/>
    <w:rsid w:val="7D0F4246"/>
    <w:rsid w:val="7D1B7F75"/>
    <w:rsid w:val="7D25031D"/>
    <w:rsid w:val="7D3A5AA7"/>
    <w:rsid w:val="7D5176F5"/>
    <w:rsid w:val="7D531A22"/>
    <w:rsid w:val="7D575513"/>
    <w:rsid w:val="7D585237"/>
    <w:rsid w:val="7D6733BC"/>
    <w:rsid w:val="7D933231"/>
    <w:rsid w:val="7DB45D91"/>
    <w:rsid w:val="7DBF6D54"/>
    <w:rsid w:val="7DE14013"/>
    <w:rsid w:val="7E3C3951"/>
    <w:rsid w:val="7E422726"/>
    <w:rsid w:val="7E4F2AC0"/>
    <w:rsid w:val="7E5709D5"/>
    <w:rsid w:val="7E81322D"/>
    <w:rsid w:val="7E8F2F2E"/>
    <w:rsid w:val="7E9A3CF9"/>
    <w:rsid w:val="7EA26ED2"/>
    <w:rsid w:val="7EAE340B"/>
    <w:rsid w:val="7EB77801"/>
    <w:rsid w:val="7EBC1037"/>
    <w:rsid w:val="7ECB2A15"/>
    <w:rsid w:val="7EDE569F"/>
    <w:rsid w:val="7EEE4956"/>
    <w:rsid w:val="7EF01FC7"/>
    <w:rsid w:val="7EFC46A7"/>
    <w:rsid w:val="7EFE0C6D"/>
    <w:rsid w:val="7F1B385A"/>
    <w:rsid w:val="7F306475"/>
    <w:rsid w:val="7F451331"/>
    <w:rsid w:val="7F517173"/>
    <w:rsid w:val="7F792868"/>
    <w:rsid w:val="7F840128"/>
    <w:rsid w:val="7F96154F"/>
    <w:rsid w:val="7F9D2EA8"/>
    <w:rsid w:val="7FA16F42"/>
    <w:rsid w:val="7FAE1733"/>
    <w:rsid w:val="7FC95C68"/>
    <w:rsid w:val="7FCA6DEF"/>
    <w:rsid w:val="7FE113AF"/>
    <w:rsid w:val="7FE941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semiHidden="0" w:name="heading 3" w:locked="1"/>
    <w:lsdException w:qFormat="1" w:uiPriority="9" w:semiHidden="0" w:name="heading 4" w:locked="1"/>
    <w:lsdException w:qFormat="1" w:uiPriority="9" w:semiHidden="0" w:name="heading 5" w:locked="1"/>
    <w:lsdException w:qFormat="1" w:uiPriority="9" w:semiHidden="0" w:name="heading 6" w:locked="1"/>
    <w:lsdException w:qFormat="1" w:uiPriority="9" w:semiHidden="0" w:name="heading 7" w:locked="1"/>
    <w:lsdException w:qFormat="1" w:uiPriority="9" w:semiHidden="0" w:name="heading 8" w:locked="1"/>
    <w:lsdException w:qFormat="1" w:uiPriority="9" w:semiHidden="0"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iPriority="39" w:semiHidden="0" w:name="toc 1" w:locked="1"/>
    <w:lsdException w:qFormat="1" w:uiPriority="39" w:semiHidden="0" w:name="toc 2" w:locked="1"/>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semiHidden="0" w:name="Default Paragraph Font"/>
    <w:lsdException w:qFormat="1" w:unhideWhenUsed="0" w:uiPriority="0" w:semiHidden="0" w:name="Body Text"/>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0" w:semiHidden="0" w:name="Date" w:locked="1"/>
    <w:lsdException w:uiPriority="99" w:name="Body Text First Indent" w:locked="1"/>
    <w:lsdException w:uiPriority="99" w:name="Body Text First Indent 2" w:locked="1"/>
    <w:lsdException w:qFormat="1" w:unhideWhenUsed="0" w:uiPriority="0" w:semiHidden="0" w:name="Note Heading" w:locked="1"/>
    <w:lsdException w:qFormat="1" w:unhideWhenUsed="0" w:uiPriority="0" w:semiHidden="0" w:name="Body Text 2" w:locked="1"/>
    <w:lsdException w:uiPriority="99" w:name="Body Text 3" w:locked="1"/>
    <w:lsdException w:qFormat="1" w:unhideWhenUsed="0" w:uiPriority="0" w:semiHidden="0" w:name="Body Text Indent 2" w:locked="1"/>
    <w:lsdException w:uiPriority="99" w:name="Body Text Indent 3" w:locked="1"/>
    <w:lsdException w:uiPriority="99" w:name="Block Text" w:locked="1"/>
    <w:lsdException w:qFormat="1" w:uiPriority="99" w:semiHidden="0" w:name="Hyperlink" w:locked="1"/>
    <w:lsdException w:uiPriority="99" w:name="FollowedHyperlink" w:locked="1"/>
    <w:lsdException w:qFormat="1" w:unhideWhenUsed="0" w:uiPriority="0" w:semiHidden="0" w:name="Strong" w:locked="1"/>
    <w:lsdException w:qFormat="1" w:unhideWhenUsed="0" w:uiPriority="0" w:semiHidden="0" w:name="Emphasis" w:locked="1"/>
    <w:lsdException w:qFormat="1" w:unhideWhenUsed="0" w:uiPriority="99" w:name="Document Map"/>
    <w:lsdException w:qFormat="1" w:unhideWhenUsed="0" w:uiPriority="99" w:semiHidden="0" w:name="Plain Text"/>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7"/>
    <w:qFormat/>
    <w:uiPriority w:val="99"/>
    <w:pPr>
      <w:keepNext/>
      <w:keepLines/>
      <w:numPr>
        <w:ilvl w:val="0"/>
        <w:numId w:val="1"/>
      </w:numPr>
      <w:spacing w:line="360" w:lineRule="auto"/>
      <w:ind w:left="432" w:hanging="432"/>
      <w:jc w:val="center"/>
      <w:outlineLvl w:val="0"/>
    </w:pPr>
    <w:rPr>
      <w:rFonts w:eastAsia="黑体"/>
      <w:b/>
      <w:bCs/>
      <w:kern w:val="44"/>
      <w:sz w:val="32"/>
      <w:szCs w:val="44"/>
    </w:rPr>
  </w:style>
  <w:style w:type="paragraph" w:styleId="4">
    <w:name w:val="heading 2"/>
    <w:basedOn w:val="1"/>
    <w:next w:val="1"/>
    <w:link w:val="48"/>
    <w:qFormat/>
    <w:uiPriority w:val="99"/>
    <w:pPr>
      <w:keepNext/>
      <w:keepLines/>
      <w:numPr>
        <w:ilvl w:val="1"/>
        <w:numId w:val="1"/>
      </w:numPr>
      <w:tabs>
        <w:tab w:val="left" w:pos="720"/>
      </w:tabs>
      <w:spacing w:line="360" w:lineRule="auto"/>
      <w:ind w:left="575" w:hanging="575"/>
      <w:jc w:val="left"/>
      <w:outlineLvl w:val="1"/>
    </w:pPr>
    <w:rPr>
      <w:rFonts w:ascii="Arial" w:hAnsi="Arial" w:eastAsia="黑体"/>
      <w:bCs/>
      <w:kern w:val="0"/>
      <w:sz w:val="30"/>
      <w:szCs w:val="32"/>
    </w:rPr>
  </w:style>
  <w:style w:type="paragraph" w:styleId="5">
    <w:name w:val="heading 3"/>
    <w:basedOn w:val="1"/>
    <w:next w:val="1"/>
    <w:unhideWhenUsed/>
    <w:qFormat/>
    <w:locked/>
    <w:uiPriority w:val="9"/>
    <w:pPr>
      <w:numPr>
        <w:ilvl w:val="2"/>
        <w:numId w:val="1"/>
      </w:numPr>
      <w:spacing w:before="100" w:beforeAutospacing="1" w:after="100" w:afterAutospacing="1"/>
      <w:ind w:left="720" w:hanging="720"/>
      <w:jc w:val="left"/>
      <w:outlineLvl w:val="2"/>
    </w:pPr>
    <w:rPr>
      <w:rFonts w:hint="eastAsia" w:ascii="宋体" w:hAnsi="宋体" w:eastAsia="宋体" w:cs="宋体"/>
      <w:b/>
      <w:kern w:val="0"/>
      <w:sz w:val="27"/>
      <w:szCs w:val="27"/>
      <w:lang w:val="en-US" w:eastAsia="zh-CN" w:bidi="ar"/>
    </w:rPr>
  </w:style>
  <w:style w:type="paragraph" w:styleId="6">
    <w:name w:val="heading 4"/>
    <w:basedOn w:val="1"/>
    <w:next w:val="1"/>
    <w:unhideWhenUsed/>
    <w:qFormat/>
    <w:locked/>
    <w:uiPriority w:val="9"/>
    <w:pPr>
      <w:numPr>
        <w:ilvl w:val="3"/>
        <w:numId w:val="1"/>
      </w:numPr>
      <w:spacing w:before="100" w:beforeAutospacing="1" w:after="100" w:afterAutospacing="1"/>
      <w:ind w:left="864" w:hanging="864"/>
      <w:jc w:val="left"/>
      <w:outlineLvl w:val="3"/>
    </w:pPr>
    <w:rPr>
      <w:rFonts w:hint="eastAsia" w:ascii="宋体" w:hAnsi="宋体" w:eastAsia="宋体" w:cs="宋体"/>
      <w:b/>
      <w:kern w:val="0"/>
      <w:sz w:val="24"/>
      <w:szCs w:val="24"/>
      <w:lang w:val="en-US" w:eastAsia="zh-CN" w:bidi="ar"/>
    </w:rPr>
  </w:style>
  <w:style w:type="paragraph" w:styleId="7">
    <w:name w:val="heading 5"/>
    <w:basedOn w:val="1"/>
    <w:next w:val="1"/>
    <w:unhideWhenUsed/>
    <w:qFormat/>
    <w:locked/>
    <w:uiPriority w:val="9"/>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8">
    <w:name w:val="heading 6"/>
    <w:basedOn w:val="1"/>
    <w:next w:val="1"/>
    <w:unhideWhenUsed/>
    <w:qFormat/>
    <w:locked/>
    <w:uiPriority w:val="9"/>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9">
    <w:name w:val="heading 7"/>
    <w:basedOn w:val="1"/>
    <w:next w:val="1"/>
    <w:unhideWhenUsed/>
    <w:qFormat/>
    <w:locked/>
    <w:uiPriority w:val="9"/>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10">
    <w:name w:val="heading 8"/>
    <w:basedOn w:val="1"/>
    <w:next w:val="1"/>
    <w:unhideWhenUsed/>
    <w:qFormat/>
    <w:locked/>
    <w:uiPriority w:val="9"/>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1">
    <w:name w:val="heading 9"/>
    <w:basedOn w:val="1"/>
    <w:next w:val="1"/>
    <w:unhideWhenUsed/>
    <w:qFormat/>
    <w:locked/>
    <w:uiPriority w:val="9"/>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39">
    <w:name w:val="Default Paragraph Font"/>
    <w:unhideWhenUsed/>
    <w:qFormat/>
    <w:uiPriority w:val="1"/>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Normal Indent"/>
    <w:basedOn w:val="1"/>
    <w:next w:val="1"/>
    <w:link w:val="46"/>
    <w:qFormat/>
    <w:uiPriority w:val="0"/>
    <w:pPr>
      <w:ind w:firstLine="420" w:firstLineChars="200"/>
    </w:pPr>
  </w:style>
  <w:style w:type="paragraph" w:styleId="12">
    <w:name w:val="toc 7"/>
    <w:basedOn w:val="1"/>
    <w:next w:val="1"/>
    <w:unhideWhenUsed/>
    <w:qFormat/>
    <w:locked/>
    <w:uiPriority w:val="39"/>
    <w:pPr>
      <w:ind w:left="1260"/>
      <w:jc w:val="left"/>
    </w:pPr>
    <w:rPr>
      <w:rFonts w:ascii="Calibri" w:hAnsi="Calibri"/>
      <w:sz w:val="18"/>
      <w:szCs w:val="18"/>
    </w:rPr>
  </w:style>
  <w:style w:type="paragraph" w:styleId="13">
    <w:name w:val="Note Heading"/>
    <w:basedOn w:val="1"/>
    <w:next w:val="1"/>
    <w:link w:val="49"/>
    <w:qFormat/>
    <w:locked/>
    <w:uiPriority w:val="0"/>
    <w:pPr>
      <w:jc w:val="center"/>
    </w:pPr>
    <w:rPr>
      <w:rFonts w:ascii="宋体"/>
      <w:szCs w:val="20"/>
    </w:rPr>
  </w:style>
  <w:style w:type="paragraph" w:styleId="14">
    <w:name w:val="caption"/>
    <w:basedOn w:val="1"/>
    <w:next w:val="1"/>
    <w:qFormat/>
    <w:uiPriority w:val="99"/>
    <w:rPr>
      <w:rFonts w:ascii="Arial" w:hAnsi="Arial" w:eastAsia="黑体" w:cs="Arial"/>
      <w:sz w:val="20"/>
      <w:szCs w:val="20"/>
    </w:rPr>
  </w:style>
  <w:style w:type="paragraph" w:styleId="15">
    <w:name w:val="Document Map"/>
    <w:basedOn w:val="1"/>
    <w:next w:val="1"/>
    <w:link w:val="50"/>
    <w:semiHidden/>
    <w:qFormat/>
    <w:uiPriority w:val="99"/>
    <w:pPr>
      <w:shd w:val="clear" w:color="auto" w:fill="000080"/>
    </w:pPr>
  </w:style>
  <w:style w:type="paragraph" w:styleId="16">
    <w:name w:val="annotation text"/>
    <w:basedOn w:val="1"/>
    <w:link w:val="51"/>
    <w:qFormat/>
    <w:uiPriority w:val="99"/>
    <w:pPr>
      <w:jc w:val="left"/>
    </w:pPr>
  </w:style>
  <w:style w:type="paragraph" w:styleId="17">
    <w:name w:val="Body Text"/>
    <w:basedOn w:val="1"/>
    <w:link w:val="52"/>
    <w:qFormat/>
    <w:uiPriority w:val="0"/>
    <w:pPr>
      <w:spacing w:after="120"/>
    </w:pPr>
  </w:style>
  <w:style w:type="paragraph" w:styleId="18">
    <w:name w:val="Body Text Indent"/>
    <w:basedOn w:val="1"/>
    <w:qFormat/>
    <w:locked/>
    <w:uiPriority w:val="0"/>
    <w:pPr>
      <w:spacing w:line="460" w:lineRule="exact"/>
      <w:ind w:firstLine="560" w:firstLineChars="200"/>
    </w:pPr>
    <w:rPr>
      <w:sz w:val="28"/>
    </w:rPr>
  </w:style>
  <w:style w:type="paragraph" w:styleId="19">
    <w:name w:val="toc 5"/>
    <w:basedOn w:val="1"/>
    <w:next w:val="1"/>
    <w:unhideWhenUsed/>
    <w:qFormat/>
    <w:locked/>
    <w:uiPriority w:val="39"/>
    <w:pPr>
      <w:ind w:left="840"/>
      <w:jc w:val="left"/>
    </w:pPr>
    <w:rPr>
      <w:rFonts w:ascii="Calibri" w:hAnsi="Calibri"/>
      <w:sz w:val="18"/>
      <w:szCs w:val="18"/>
    </w:rPr>
  </w:style>
  <w:style w:type="paragraph" w:styleId="20">
    <w:name w:val="toc 3"/>
    <w:basedOn w:val="1"/>
    <w:next w:val="1"/>
    <w:unhideWhenUsed/>
    <w:qFormat/>
    <w:locked/>
    <w:uiPriority w:val="39"/>
    <w:pPr>
      <w:ind w:left="420"/>
      <w:jc w:val="left"/>
    </w:pPr>
    <w:rPr>
      <w:rFonts w:ascii="Calibri" w:hAnsi="Calibri"/>
      <w:i/>
      <w:iCs/>
      <w:sz w:val="20"/>
      <w:szCs w:val="20"/>
    </w:rPr>
  </w:style>
  <w:style w:type="paragraph" w:styleId="21">
    <w:name w:val="Plain Text"/>
    <w:basedOn w:val="1"/>
    <w:link w:val="53"/>
    <w:qFormat/>
    <w:uiPriority w:val="99"/>
    <w:rPr>
      <w:rFonts w:ascii="宋体" w:hAnsi="Courier New" w:cs="Courier New"/>
      <w:color w:val="000000"/>
      <w:szCs w:val="21"/>
    </w:rPr>
  </w:style>
  <w:style w:type="paragraph" w:styleId="22">
    <w:name w:val="toc 8"/>
    <w:basedOn w:val="1"/>
    <w:next w:val="1"/>
    <w:unhideWhenUsed/>
    <w:qFormat/>
    <w:locked/>
    <w:uiPriority w:val="39"/>
    <w:pPr>
      <w:ind w:left="1470"/>
      <w:jc w:val="left"/>
    </w:pPr>
    <w:rPr>
      <w:rFonts w:ascii="Calibri" w:hAnsi="Calibri"/>
      <w:sz w:val="18"/>
      <w:szCs w:val="18"/>
    </w:rPr>
  </w:style>
  <w:style w:type="paragraph" w:styleId="23">
    <w:name w:val="Date"/>
    <w:basedOn w:val="1"/>
    <w:next w:val="1"/>
    <w:qFormat/>
    <w:locked/>
    <w:uiPriority w:val="0"/>
    <w:pPr>
      <w:ind w:left="100" w:leftChars="2500"/>
    </w:pPr>
    <w:rPr>
      <w:color w:val="000000"/>
      <w:sz w:val="28"/>
    </w:rPr>
  </w:style>
  <w:style w:type="paragraph" w:styleId="24">
    <w:name w:val="Body Text Indent 2"/>
    <w:basedOn w:val="1"/>
    <w:next w:val="1"/>
    <w:qFormat/>
    <w:locked/>
    <w:uiPriority w:val="0"/>
    <w:pPr>
      <w:spacing w:line="460" w:lineRule="exact"/>
      <w:ind w:firstLine="560" w:firstLineChars="200"/>
    </w:pPr>
    <w:rPr>
      <w:rFonts w:ascii="宋体" w:hAnsi="宋体"/>
      <w:color w:val="000000"/>
      <w:sz w:val="28"/>
    </w:rPr>
  </w:style>
  <w:style w:type="paragraph" w:styleId="25">
    <w:name w:val="Balloon Text"/>
    <w:basedOn w:val="1"/>
    <w:link w:val="54"/>
    <w:semiHidden/>
    <w:qFormat/>
    <w:uiPriority w:val="99"/>
    <w:rPr>
      <w:sz w:val="18"/>
      <w:szCs w:val="18"/>
    </w:rPr>
  </w:style>
  <w:style w:type="paragraph" w:styleId="26">
    <w:name w:val="footer"/>
    <w:basedOn w:val="1"/>
    <w:next w:val="1"/>
    <w:link w:val="55"/>
    <w:qFormat/>
    <w:uiPriority w:val="99"/>
    <w:pPr>
      <w:tabs>
        <w:tab w:val="center" w:pos="4153"/>
        <w:tab w:val="right" w:pos="8306"/>
      </w:tabs>
      <w:snapToGrid w:val="0"/>
      <w:jc w:val="left"/>
    </w:pPr>
    <w:rPr>
      <w:sz w:val="18"/>
      <w:szCs w:val="18"/>
    </w:rPr>
  </w:style>
  <w:style w:type="paragraph" w:styleId="27">
    <w:name w:val="header"/>
    <w:basedOn w:val="1"/>
    <w:link w:val="5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8">
    <w:name w:val="toc 1"/>
    <w:basedOn w:val="1"/>
    <w:next w:val="1"/>
    <w:unhideWhenUsed/>
    <w:qFormat/>
    <w:locked/>
    <w:uiPriority w:val="39"/>
    <w:pPr>
      <w:tabs>
        <w:tab w:val="right" w:leader="dot" w:pos="8296"/>
      </w:tabs>
      <w:spacing w:line="360" w:lineRule="auto"/>
      <w:jc w:val="left"/>
    </w:pPr>
    <w:rPr>
      <w:rFonts w:ascii="宋体" w:hAnsi="宋体"/>
      <w:b/>
      <w:bCs/>
      <w:caps/>
      <w:snapToGrid w:val="0"/>
      <w:kern w:val="0"/>
      <w:sz w:val="24"/>
    </w:rPr>
  </w:style>
  <w:style w:type="paragraph" w:styleId="29">
    <w:name w:val="toc 4"/>
    <w:basedOn w:val="1"/>
    <w:next w:val="1"/>
    <w:unhideWhenUsed/>
    <w:qFormat/>
    <w:locked/>
    <w:uiPriority w:val="39"/>
    <w:pPr>
      <w:ind w:left="630"/>
      <w:jc w:val="left"/>
    </w:pPr>
    <w:rPr>
      <w:rFonts w:ascii="Calibri" w:hAnsi="Calibri"/>
      <w:sz w:val="18"/>
      <w:szCs w:val="18"/>
    </w:rPr>
  </w:style>
  <w:style w:type="paragraph" w:styleId="30">
    <w:name w:val="toc 6"/>
    <w:basedOn w:val="1"/>
    <w:next w:val="1"/>
    <w:unhideWhenUsed/>
    <w:qFormat/>
    <w:locked/>
    <w:uiPriority w:val="39"/>
    <w:pPr>
      <w:ind w:left="1050"/>
      <w:jc w:val="left"/>
    </w:pPr>
    <w:rPr>
      <w:rFonts w:ascii="Calibri" w:hAnsi="Calibri"/>
      <w:sz w:val="18"/>
      <w:szCs w:val="18"/>
    </w:rPr>
  </w:style>
  <w:style w:type="paragraph" w:styleId="31">
    <w:name w:val="toc 2"/>
    <w:basedOn w:val="1"/>
    <w:next w:val="1"/>
    <w:unhideWhenUsed/>
    <w:qFormat/>
    <w:locked/>
    <w:uiPriority w:val="39"/>
    <w:pPr>
      <w:ind w:left="210"/>
      <w:jc w:val="left"/>
    </w:pPr>
    <w:rPr>
      <w:rFonts w:ascii="Calibri" w:hAnsi="Calibri"/>
      <w:smallCaps/>
      <w:sz w:val="20"/>
      <w:szCs w:val="20"/>
    </w:rPr>
  </w:style>
  <w:style w:type="paragraph" w:styleId="32">
    <w:name w:val="toc 9"/>
    <w:basedOn w:val="1"/>
    <w:next w:val="1"/>
    <w:unhideWhenUsed/>
    <w:qFormat/>
    <w:locked/>
    <w:uiPriority w:val="39"/>
    <w:pPr>
      <w:ind w:left="1680"/>
      <w:jc w:val="left"/>
    </w:pPr>
    <w:rPr>
      <w:rFonts w:ascii="Calibri" w:hAnsi="Calibri"/>
      <w:sz w:val="18"/>
      <w:szCs w:val="18"/>
    </w:rPr>
  </w:style>
  <w:style w:type="paragraph" w:styleId="33">
    <w:name w:val="Body Text 2"/>
    <w:qFormat/>
    <w:locked/>
    <w:uiPriority w:val="0"/>
    <w:pPr>
      <w:widowControl w:val="0"/>
      <w:jc w:val="both"/>
    </w:pPr>
    <w:rPr>
      <w:rFonts w:ascii="Times New Roman" w:hAnsi="Times New Roman" w:eastAsia="宋体" w:cs="Times New Roman"/>
      <w:kern w:val="2"/>
      <w:sz w:val="24"/>
      <w:szCs w:val="24"/>
      <w:lang w:val="en-US" w:eastAsia="zh-CN" w:bidi="ar-SA"/>
    </w:rPr>
  </w:style>
  <w:style w:type="paragraph" w:styleId="34">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宋体" w:hAnsi="宋体" w:eastAsia="宋体" w:cs="宋体"/>
      <w:sz w:val="24"/>
      <w:szCs w:val="24"/>
    </w:rPr>
  </w:style>
  <w:style w:type="paragraph" w:styleId="35">
    <w:name w:val="Normal (Web)"/>
    <w:basedOn w:val="1"/>
    <w:link w:val="57"/>
    <w:qFormat/>
    <w:uiPriority w:val="0"/>
    <w:pPr>
      <w:widowControl/>
      <w:spacing w:beforeAutospacing="1" w:afterAutospacing="1"/>
      <w:jc w:val="left"/>
    </w:pPr>
    <w:rPr>
      <w:rFonts w:ascii="宋体" w:hAnsi="宋体"/>
      <w:kern w:val="0"/>
      <w:sz w:val="24"/>
    </w:rPr>
  </w:style>
  <w:style w:type="paragraph" w:styleId="36">
    <w:name w:val="annotation subject"/>
    <w:basedOn w:val="16"/>
    <w:next w:val="16"/>
    <w:link w:val="58"/>
    <w:semiHidden/>
    <w:qFormat/>
    <w:uiPriority w:val="99"/>
    <w:rPr>
      <w:b/>
      <w:bCs/>
    </w:rPr>
  </w:style>
  <w:style w:type="table" w:styleId="38">
    <w:name w:val="Table Grid"/>
    <w:basedOn w:val="3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locked/>
    <w:uiPriority w:val="0"/>
    <w:rPr>
      <w:b/>
      <w:bCs/>
    </w:rPr>
  </w:style>
  <w:style w:type="character" w:styleId="41">
    <w:name w:val="page number"/>
    <w:basedOn w:val="39"/>
    <w:qFormat/>
    <w:uiPriority w:val="99"/>
    <w:rPr>
      <w:rFonts w:cs="Times New Roman"/>
    </w:rPr>
  </w:style>
  <w:style w:type="character" w:styleId="42">
    <w:name w:val="Emphasis"/>
    <w:basedOn w:val="39"/>
    <w:qFormat/>
    <w:locked/>
    <w:uiPriority w:val="0"/>
    <w:rPr>
      <w:i/>
    </w:rPr>
  </w:style>
  <w:style w:type="character" w:styleId="43">
    <w:name w:val="Hyperlink"/>
    <w:basedOn w:val="39"/>
    <w:unhideWhenUsed/>
    <w:qFormat/>
    <w:locked/>
    <w:uiPriority w:val="99"/>
    <w:rPr>
      <w:color w:val="0000FF"/>
      <w:u w:val="single"/>
    </w:rPr>
  </w:style>
  <w:style w:type="character" w:styleId="44">
    <w:name w:val="annotation reference"/>
    <w:basedOn w:val="39"/>
    <w:semiHidden/>
    <w:qFormat/>
    <w:uiPriority w:val="99"/>
    <w:rPr>
      <w:rFonts w:cs="Times New Roman"/>
      <w:sz w:val="21"/>
      <w:szCs w:val="21"/>
    </w:rPr>
  </w:style>
  <w:style w:type="paragraph" w:customStyle="1" w:styleId="45">
    <w:name w:val="toc 75"/>
    <w:next w:val="1"/>
    <w:qFormat/>
    <w:uiPriority w:val="0"/>
    <w:pPr>
      <w:wordWrap w:val="0"/>
      <w:ind w:left="2550"/>
      <w:jc w:val="both"/>
    </w:pPr>
    <w:rPr>
      <w:rFonts w:ascii="Calibri" w:hAnsi="Calibri" w:eastAsia="宋体" w:cs="Times New Roman"/>
      <w:sz w:val="21"/>
      <w:szCs w:val="22"/>
      <w:lang w:val="en-US" w:eastAsia="zh-CN" w:bidi="ar-SA"/>
    </w:rPr>
  </w:style>
  <w:style w:type="character" w:customStyle="1" w:styleId="46">
    <w:name w:val="正文缩进 Char"/>
    <w:link w:val="2"/>
    <w:qFormat/>
    <w:uiPriority w:val="0"/>
    <w:rPr>
      <w:kern w:val="2"/>
      <w:sz w:val="21"/>
      <w:szCs w:val="24"/>
    </w:rPr>
  </w:style>
  <w:style w:type="character" w:customStyle="1" w:styleId="47">
    <w:name w:val="标题 1 Char"/>
    <w:basedOn w:val="39"/>
    <w:link w:val="3"/>
    <w:qFormat/>
    <w:locked/>
    <w:uiPriority w:val="99"/>
    <w:rPr>
      <w:rFonts w:cs="Times New Roman"/>
      <w:b/>
      <w:bCs/>
      <w:kern w:val="44"/>
      <w:sz w:val="44"/>
      <w:szCs w:val="44"/>
    </w:rPr>
  </w:style>
  <w:style w:type="character" w:customStyle="1" w:styleId="48">
    <w:name w:val="标题 2 Char"/>
    <w:basedOn w:val="39"/>
    <w:link w:val="4"/>
    <w:semiHidden/>
    <w:qFormat/>
    <w:locked/>
    <w:uiPriority w:val="99"/>
    <w:rPr>
      <w:rFonts w:ascii="Cambria" w:hAnsi="Cambria" w:eastAsia="宋体" w:cs="Times New Roman"/>
      <w:b/>
      <w:bCs/>
      <w:sz w:val="32"/>
      <w:szCs w:val="32"/>
    </w:rPr>
  </w:style>
  <w:style w:type="character" w:customStyle="1" w:styleId="49">
    <w:name w:val="注释标题 Char"/>
    <w:link w:val="13"/>
    <w:qFormat/>
    <w:uiPriority w:val="0"/>
    <w:rPr>
      <w:rFonts w:ascii="宋体"/>
      <w:kern w:val="2"/>
      <w:sz w:val="21"/>
    </w:rPr>
  </w:style>
  <w:style w:type="character" w:customStyle="1" w:styleId="50">
    <w:name w:val="文档结构图 Char"/>
    <w:basedOn w:val="39"/>
    <w:link w:val="15"/>
    <w:semiHidden/>
    <w:qFormat/>
    <w:locked/>
    <w:uiPriority w:val="99"/>
    <w:rPr>
      <w:rFonts w:cs="Times New Roman"/>
      <w:sz w:val="2"/>
    </w:rPr>
  </w:style>
  <w:style w:type="character" w:customStyle="1" w:styleId="51">
    <w:name w:val="批注文字 Char"/>
    <w:basedOn w:val="39"/>
    <w:link w:val="16"/>
    <w:semiHidden/>
    <w:qFormat/>
    <w:locked/>
    <w:uiPriority w:val="99"/>
    <w:rPr>
      <w:rFonts w:cs="Times New Roman"/>
      <w:sz w:val="24"/>
      <w:szCs w:val="24"/>
    </w:rPr>
  </w:style>
  <w:style w:type="character" w:customStyle="1" w:styleId="52">
    <w:name w:val="正文文本 Char"/>
    <w:basedOn w:val="39"/>
    <w:link w:val="17"/>
    <w:qFormat/>
    <w:locked/>
    <w:uiPriority w:val="0"/>
    <w:rPr>
      <w:rFonts w:cs="Times New Roman"/>
      <w:sz w:val="24"/>
      <w:szCs w:val="24"/>
    </w:rPr>
  </w:style>
  <w:style w:type="character" w:customStyle="1" w:styleId="53">
    <w:name w:val="纯文本 Char"/>
    <w:basedOn w:val="39"/>
    <w:link w:val="21"/>
    <w:semiHidden/>
    <w:qFormat/>
    <w:locked/>
    <w:uiPriority w:val="99"/>
    <w:rPr>
      <w:rFonts w:ascii="宋体" w:hAnsi="Courier New" w:cs="Courier New"/>
      <w:sz w:val="21"/>
      <w:szCs w:val="21"/>
    </w:rPr>
  </w:style>
  <w:style w:type="character" w:customStyle="1" w:styleId="54">
    <w:name w:val="批注框文本 Char"/>
    <w:basedOn w:val="39"/>
    <w:link w:val="25"/>
    <w:semiHidden/>
    <w:qFormat/>
    <w:locked/>
    <w:uiPriority w:val="99"/>
    <w:rPr>
      <w:rFonts w:cs="Times New Roman"/>
      <w:sz w:val="2"/>
    </w:rPr>
  </w:style>
  <w:style w:type="character" w:customStyle="1" w:styleId="55">
    <w:name w:val="页脚 Char"/>
    <w:basedOn w:val="39"/>
    <w:link w:val="26"/>
    <w:semiHidden/>
    <w:qFormat/>
    <w:locked/>
    <w:uiPriority w:val="99"/>
    <w:rPr>
      <w:rFonts w:cs="Times New Roman"/>
      <w:sz w:val="18"/>
      <w:szCs w:val="18"/>
    </w:rPr>
  </w:style>
  <w:style w:type="character" w:customStyle="1" w:styleId="56">
    <w:name w:val="页眉 Char"/>
    <w:basedOn w:val="39"/>
    <w:link w:val="27"/>
    <w:semiHidden/>
    <w:qFormat/>
    <w:locked/>
    <w:uiPriority w:val="99"/>
    <w:rPr>
      <w:rFonts w:cs="Times New Roman"/>
      <w:sz w:val="18"/>
      <w:szCs w:val="18"/>
    </w:rPr>
  </w:style>
  <w:style w:type="character" w:customStyle="1" w:styleId="57">
    <w:name w:val="普通(网站) Char"/>
    <w:basedOn w:val="39"/>
    <w:link w:val="35"/>
    <w:qFormat/>
    <w:locked/>
    <w:uiPriority w:val="0"/>
    <w:rPr>
      <w:rFonts w:ascii="宋体" w:hAnsi="宋体"/>
      <w:sz w:val="24"/>
      <w:szCs w:val="24"/>
    </w:rPr>
  </w:style>
  <w:style w:type="character" w:customStyle="1" w:styleId="58">
    <w:name w:val="批注主题 Char"/>
    <w:basedOn w:val="51"/>
    <w:link w:val="36"/>
    <w:semiHidden/>
    <w:qFormat/>
    <w:locked/>
    <w:uiPriority w:val="99"/>
    <w:rPr>
      <w:b/>
      <w:bCs/>
    </w:rPr>
  </w:style>
  <w:style w:type="character" w:customStyle="1" w:styleId="59">
    <w:name w:val="NormalCharacter"/>
    <w:semiHidden/>
    <w:qFormat/>
    <w:uiPriority w:val="0"/>
  </w:style>
  <w:style w:type="character" w:customStyle="1" w:styleId="60">
    <w:name w:val="description"/>
    <w:basedOn w:val="39"/>
    <w:qFormat/>
    <w:uiPriority w:val="0"/>
  </w:style>
  <w:style w:type="character" w:customStyle="1" w:styleId="61">
    <w:name w:val="bt11"/>
    <w:basedOn w:val="39"/>
    <w:qFormat/>
    <w:uiPriority w:val="0"/>
    <w:rPr>
      <w:rFonts w:hint="eastAsia" w:ascii="黑体" w:eastAsia="黑体"/>
      <w:color w:val="000000"/>
      <w:sz w:val="28"/>
      <w:szCs w:val="28"/>
    </w:rPr>
  </w:style>
  <w:style w:type="character" w:customStyle="1" w:styleId="62">
    <w:name w:val="zw1"/>
    <w:basedOn w:val="39"/>
    <w:qFormat/>
    <w:uiPriority w:val="0"/>
    <w:rPr>
      <w:rFonts w:ascii="宋体" w:hAnsi="宋体" w:eastAsia="宋体"/>
      <w:spacing w:val="400"/>
      <w:sz w:val="22"/>
    </w:rPr>
  </w:style>
  <w:style w:type="character" w:customStyle="1" w:styleId="63">
    <w:name w:val="注释标题 Char1"/>
    <w:basedOn w:val="39"/>
    <w:semiHidden/>
    <w:qFormat/>
    <w:uiPriority w:val="99"/>
    <w:rPr>
      <w:rFonts w:ascii="Times New Roman" w:hAnsi="Times New Roman"/>
      <w:kern w:val="2"/>
      <w:sz w:val="21"/>
      <w:szCs w:val="24"/>
    </w:rPr>
  </w:style>
  <w:style w:type="character" w:customStyle="1" w:styleId="64">
    <w:name w:val="apple-style-span"/>
    <w:basedOn w:val="39"/>
    <w:qFormat/>
    <w:uiPriority w:val="0"/>
  </w:style>
  <w:style w:type="character" w:customStyle="1" w:styleId="65">
    <w:name w:val="apple-converted-space"/>
    <w:basedOn w:val="39"/>
    <w:qFormat/>
    <w:uiPriority w:val="0"/>
  </w:style>
  <w:style w:type="character" w:customStyle="1" w:styleId="66">
    <w:name w:val="bt21"/>
    <w:qFormat/>
    <w:uiPriority w:val="0"/>
    <w:rPr>
      <w:rFonts w:hint="eastAsia" w:ascii="黑体" w:eastAsia="黑体"/>
      <w:sz w:val="24"/>
      <w:szCs w:val="24"/>
    </w:rPr>
  </w:style>
  <w:style w:type="character" w:customStyle="1" w:styleId="67">
    <w:name w:val="正文文本 (2) + Times New Roman"/>
    <w:qFormat/>
    <w:uiPriority w:val="99"/>
    <w:rPr>
      <w:rFonts w:ascii="Times New Roman" w:hAnsi="Times New Roman"/>
      <w:color w:val="000000"/>
      <w:spacing w:val="0"/>
      <w:w w:val="100"/>
      <w:kern w:val="0"/>
      <w:position w:val="0"/>
      <w:sz w:val="24"/>
      <w:u w:val="none"/>
      <w:lang w:val="en-US" w:eastAsia="en-US"/>
    </w:rPr>
  </w:style>
  <w:style w:type="paragraph" w:customStyle="1" w:styleId="68">
    <w:name w:val="HtmlNormal"/>
    <w:basedOn w:val="1"/>
    <w:qFormat/>
    <w:uiPriority w:val="0"/>
    <w:pPr>
      <w:spacing w:before="100" w:beforeAutospacing="1" w:after="100" w:afterAutospacing="1"/>
      <w:jc w:val="left"/>
    </w:pPr>
    <w:rPr>
      <w:rFonts w:ascii="Arial Unicode MS" w:hAnsi="Arial Unicode MS" w:eastAsia="Times New Roman"/>
      <w:kern w:val="0"/>
      <w:szCs w:val="24"/>
    </w:rPr>
  </w:style>
  <w:style w:type="paragraph" w:customStyle="1" w:styleId="69">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70">
    <w:name w:val="表格"/>
    <w:basedOn w:val="1"/>
    <w:next w:val="1"/>
    <w:qFormat/>
    <w:uiPriority w:val="0"/>
    <w:pPr>
      <w:jc w:val="center"/>
    </w:pPr>
    <w:rPr>
      <w:szCs w:val="20"/>
    </w:rPr>
  </w:style>
  <w:style w:type="paragraph" w:customStyle="1" w:styleId="71">
    <w:name w:val="_Style 4"/>
    <w:qFormat/>
    <w:uiPriority w:val="99"/>
    <w:pPr>
      <w:widowControl w:val="0"/>
      <w:jc w:val="both"/>
    </w:pPr>
    <w:rPr>
      <w:rFonts w:ascii="Times New Roman" w:hAnsi="Times New Roman" w:eastAsia="仿宋_GB2312" w:cs="Times New Roman"/>
      <w:kern w:val="2"/>
      <w:sz w:val="24"/>
      <w:szCs w:val="22"/>
      <w:lang w:val="en-US" w:eastAsia="zh-CN" w:bidi="ar-SA"/>
    </w:rPr>
  </w:style>
  <w:style w:type="paragraph" w:customStyle="1" w:styleId="72">
    <w:name w:val="puce"/>
    <w:basedOn w:val="1"/>
    <w:qFormat/>
    <w:uiPriority w:val="0"/>
    <w:pPr>
      <w:widowControl/>
      <w:numPr>
        <w:ilvl w:val="0"/>
        <w:numId w:val="2"/>
      </w:numPr>
      <w:tabs>
        <w:tab w:val="left" w:pos="1176"/>
      </w:tabs>
      <w:adjustRightInd w:val="0"/>
      <w:snapToGrid w:val="0"/>
      <w:spacing w:before="60" w:after="60" w:line="360" w:lineRule="auto"/>
      <w:ind w:left="1191" w:hanging="454"/>
    </w:pPr>
    <w:rPr>
      <w:rFonts w:ascii="Arial" w:hAnsi="Arial"/>
      <w:kern w:val="0"/>
      <w:sz w:val="24"/>
    </w:rPr>
  </w:style>
  <w:style w:type="paragraph" w:customStyle="1" w:styleId="73">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74">
    <w:name w:val="Table Paragraph"/>
    <w:basedOn w:val="1"/>
    <w:qFormat/>
    <w:uiPriority w:val="1"/>
    <w:rPr>
      <w:rFonts w:ascii="宋体" w:hAnsi="宋体" w:eastAsia="宋体" w:cs="宋体"/>
      <w:lang w:val="zh-CN" w:eastAsia="zh-CN" w:bidi="zh-CN"/>
    </w:rPr>
  </w:style>
  <w:style w:type="paragraph" w:customStyle="1" w:styleId="75">
    <w:name w:val="报告标3"/>
    <w:basedOn w:val="1"/>
    <w:qFormat/>
    <w:uiPriority w:val="0"/>
    <w:pPr>
      <w:widowControl w:val="0"/>
      <w:spacing w:after="0" w:line="300" w:lineRule="auto"/>
      <w:jc w:val="both"/>
    </w:pPr>
    <w:rPr>
      <w:rFonts w:ascii="宋体" w:hAnsi="Times New Roman" w:eastAsia="宋体"/>
      <w:kern w:val="2"/>
      <w:sz w:val="28"/>
      <w:szCs w:val="20"/>
    </w:rPr>
  </w:style>
  <w:style w:type="paragraph" w:customStyle="1" w:styleId="76">
    <w:name w:val="样式2"/>
    <w:qFormat/>
    <w:uiPriority w:val="0"/>
    <w:pPr>
      <w:widowControl w:val="0"/>
      <w:snapToGrid w:val="0"/>
      <w:spacing w:before="120" w:after="120" w:line="360" w:lineRule="auto"/>
      <w:ind w:firstLine="567"/>
      <w:jc w:val="both"/>
    </w:pPr>
    <w:rPr>
      <w:rFonts w:ascii="Times New Roman" w:hAnsi="Times New Roman" w:eastAsia="宋体" w:cs="Times New Roman"/>
      <w:b/>
      <w:kern w:val="2"/>
      <w:sz w:val="28"/>
      <w:szCs w:val="20"/>
      <w:lang w:val="en-US" w:eastAsia="zh-CN" w:bidi="ar-SA"/>
    </w:rPr>
  </w:style>
  <w:style w:type="paragraph" w:customStyle="1" w:styleId="77">
    <w:name w:val="正文22"/>
    <w:qFormat/>
    <w:uiPriority w:val="0"/>
    <w:pPr>
      <w:widowControl w:val="0"/>
      <w:adjustRightInd w:val="0"/>
      <w:snapToGrid w:val="0"/>
      <w:spacing w:before="120" w:beforeLines="50" w:line="360" w:lineRule="auto"/>
      <w:ind w:firstLine="560" w:firstLineChars="200"/>
    </w:pPr>
    <w:rPr>
      <w:rFonts w:ascii="宋体" w:hAnsi="宋体" w:eastAsia="宋体" w:cs="楷体_GB2312"/>
      <w:kern w:val="28"/>
      <w:sz w:val="28"/>
      <w:szCs w:val="28"/>
      <w:lang w:val="en-US" w:eastAsia="zh-CN" w:bidi="ar-SA"/>
    </w:rPr>
  </w:style>
  <w:style w:type="paragraph" w:customStyle="1" w:styleId="78">
    <w:name w:val="正文缩进1"/>
    <w:basedOn w:val="1"/>
    <w:qFormat/>
    <w:uiPriority w:val="99"/>
    <w:pPr>
      <w:spacing w:line="460" w:lineRule="exact"/>
      <w:ind w:firstLine="420" w:firstLineChars="200"/>
    </w:pPr>
    <w:rPr>
      <w:sz w:val="24"/>
    </w:rPr>
  </w:style>
  <w:style w:type="paragraph" w:customStyle="1" w:styleId="79">
    <w:name w:val="WPSOffice手动目录 1"/>
    <w:qFormat/>
    <w:uiPriority w:val="99"/>
    <w:rPr>
      <w:rFonts w:ascii="Times New Roman" w:hAnsi="Times New Roman" w:eastAsia="宋体" w:cs="Times New Roman"/>
      <w:lang w:val="en-US" w:eastAsia="zh-CN" w:bidi="ar-SA"/>
    </w:rPr>
  </w:style>
  <w:style w:type="paragraph" w:customStyle="1" w:styleId="80">
    <w:name w:val="正文（表内居中）"/>
    <w:qFormat/>
    <w:uiPriority w:val="0"/>
    <w:pPr>
      <w:widowControl w:val="0"/>
      <w:jc w:val="center"/>
    </w:pPr>
    <w:rPr>
      <w:rFonts w:ascii="宋体" w:hAnsi="Times New Roman" w:eastAsia="宋体" w:cs="Times New Roman"/>
      <w:kern w:val="2"/>
      <w:sz w:val="21"/>
      <w:lang w:val="en-US" w:eastAsia="zh-CN" w:bidi="ar-SA"/>
    </w:rPr>
  </w:style>
  <w:style w:type="paragraph" w:customStyle="1" w:styleId="81">
    <w:name w:val="样式 样式 正文22 + 首行缩进:  2 字符 + 四号"/>
    <w:basedOn w:val="1"/>
    <w:qFormat/>
    <w:uiPriority w:val="99"/>
    <w:pPr>
      <w:adjustRightInd w:val="0"/>
      <w:snapToGrid w:val="0"/>
      <w:spacing w:line="336" w:lineRule="auto"/>
      <w:ind w:firstLine="560" w:firstLineChars="200"/>
      <w:jc w:val="left"/>
    </w:pPr>
    <w:rPr>
      <w:bCs/>
      <w:color w:val="000000"/>
      <w:kern w:val="28"/>
      <w:sz w:val="28"/>
      <w:szCs w:val="20"/>
    </w:rPr>
  </w:style>
  <w:style w:type="paragraph" w:customStyle="1" w:styleId="82">
    <w:name w:val="表格-安设"/>
    <w:basedOn w:val="70"/>
    <w:next w:val="1"/>
    <w:qFormat/>
    <w:uiPriority w:val="0"/>
    <w:pPr>
      <w:adjustRightInd w:val="0"/>
      <w:snapToGrid w:val="0"/>
      <w:spacing w:before="20" w:beforeLines="20" w:after="20" w:afterLines="20"/>
      <w:textAlignment w:val="center"/>
    </w:pPr>
  </w:style>
  <w:style w:type="paragraph" w:customStyle="1" w:styleId="83">
    <w:name w:val="Char Char10"/>
    <w:basedOn w:val="1"/>
    <w:next w:val="1"/>
    <w:qFormat/>
    <w:uiPriority w:val="99"/>
    <w:pPr>
      <w:keepNext/>
      <w:keepLines/>
      <w:widowControl/>
      <w:adjustRightInd w:val="0"/>
      <w:spacing w:before="40" w:after="40" w:line="360" w:lineRule="auto"/>
      <w:ind w:firstLine="200" w:firstLineChars="200"/>
      <w:textAlignment w:val="baseline"/>
    </w:pPr>
    <w:rPr>
      <w:rFonts w:cs="宋体"/>
      <w:kern w:val="0"/>
      <w:sz w:val="24"/>
      <w:szCs w:val="28"/>
    </w:rPr>
  </w:style>
  <w:style w:type="paragraph" w:customStyle="1" w:styleId="84">
    <w:name w:val="dandan6-13正文"/>
    <w:basedOn w:val="1"/>
    <w:next w:val="1"/>
    <w:qFormat/>
    <w:uiPriority w:val="0"/>
    <w:pPr>
      <w:keepNext/>
      <w:keepLines/>
      <w:widowControl/>
      <w:adjustRightInd w:val="0"/>
      <w:spacing w:before="40" w:after="40" w:line="360" w:lineRule="auto"/>
      <w:ind w:firstLine="200" w:firstLineChars="200"/>
      <w:textAlignment w:val="baseline"/>
    </w:pPr>
    <w:rPr>
      <w:rFonts w:cs="宋体"/>
      <w:kern w:val="0"/>
      <w:sz w:val="24"/>
      <w:szCs w:val="28"/>
    </w:rPr>
  </w:style>
  <w:style w:type="paragraph" w:customStyle="1" w:styleId="85">
    <w:name w:val="zw"/>
    <w:qFormat/>
    <w:uiPriority w:val="0"/>
    <w:pPr>
      <w:spacing w:before="100" w:beforeAutospacing="1" w:after="100" w:afterAutospacing="1" w:line="440" w:lineRule="atLeast"/>
    </w:pPr>
    <w:rPr>
      <w:rFonts w:ascii="宋体" w:hAnsi="宋体" w:eastAsia="宋体" w:cs="宋体"/>
      <w:sz w:val="22"/>
      <w:szCs w:val="22"/>
      <w:lang w:val="en-US" w:eastAsia="zh-CN" w:bidi="ar-SA"/>
    </w:rPr>
  </w:style>
  <w:style w:type="paragraph" w:styleId="86">
    <w:name w:val="List Paragraph"/>
    <w:basedOn w:val="1"/>
    <w:qFormat/>
    <w:uiPriority w:val="34"/>
    <w:pPr>
      <w:ind w:firstLine="420" w:firstLineChars="200"/>
    </w:pPr>
  </w:style>
  <w:style w:type="paragraph" w:customStyle="1" w:styleId="87">
    <w:name w:val="样式000"/>
    <w:qFormat/>
    <w:uiPriority w:val="0"/>
    <w:pPr>
      <w:widowControl w:val="0"/>
      <w:spacing w:line="360" w:lineRule="auto"/>
      <w:ind w:firstLine="480" w:firstLineChars="200"/>
      <w:jc w:val="both"/>
    </w:pPr>
    <w:rPr>
      <w:rFonts w:ascii="宋体" w:hAnsi="宋体" w:eastAsia="宋体" w:cs="宋体"/>
      <w:bCs/>
      <w:kern w:val="0"/>
      <w:sz w:val="24"/>
      <w:szCs w:val="24"/>
      <w:lang w:val="en-US" w:eastAsia="zh-CN" w:bidi="ar-SA"/>
    </w:rPr>
  </w:style>
  <w:style w:type="paragraph" w:customStyle="1" w:styleId="88">
    <w:name w:val="样式 样式 正文22 + 首行缩进:  2 字符 + 首行缩进:  2 字符"/>
    <w:qFormat/>
    <w:uiPriority w:val="0"/>
    <w:pPr>
      <w:widowControl w:val="0"/>
      <w:adjustRightInd w:val="0"/>
      <w:snapToGrid w:val="0"/>
      <w:spacing w:line="360" w:lineRule="auto"/>
      <w:ind w:firstLine="560" w:firstLineChars="200"/>
      <w:jc w:val="left"/>
    </w:pPr>
    <w:rPr>
      <w:rFonts w:ascii="宋体" w:hAnsi="Times New Roman" w:eastAsia="宋体" w:cs="Times New Roman"/>
      <w:kern w:val="28"/>
      <w:sz w:val="28"/>
      <w:szCs w:val="28"/>
      <w:lang w:val="en-US" w:eastAsia="zh-CN" w:bidi="ar-SA"/>
    </w:rPr>
  </w:style>
  <w:style w:type="character" w:customStyle="1" w:styleId="89">
    <w:name w:val="title31"/>
    <w:qFormat/>
    <w:uiPriority w:val="0"/>
    <w:rPr>
      <w:rFonts w:hint="eastAsia" w:ascii="黑体" w:hAnsi="宋体" w:eastAsia="黑体" w:cs="黑体"/>
      <w:sz w:val="36"/>
      <w:szCs w:val="36"/>
    </w:rPr>
  </w:style>
  <w:style w:type="table" w:customStyle="1" w:styleId="90">
    <w:name w:val="Table Normal"/>
    <w:unhideWhenUsed/>
    <w:qFormat/>
    <w:uiPriority w:val="2"/>
    <w:tblPr>
      <w:tblCellMar>
        <w:top w:w="0" w:type="dxa"/>
        <w:left w:w="0" w:type="dxa"/>
        <w:bottom w:w="0" w:type="dxa"/>
        <w:right w:w="0" w:type="dxa"/>
      </w:tblCellMar>
    </w:tblPr>
  </w:style>
  <w:style w:type="character" w:customStyle="1" w:styleId="91">
    <w:name w:val="fontstyle01"/>
    <w:basedOn w:val="39"/>
    <w:qFormat/>
    <w:uiPriority w:val="0"/>
    <w:rPr>
      <w:rFonts w:ascii="黑体" w:hAnsi="宋体" w:eastAsia="黑体" w:cs="黑体"/>
      <w:color w:val="000000"/>
      <w:sz w:val="20"/>
      <w:szCs w:val="20"/>
    </w:rPr>
  </w:style>
  <w:style w:type="paragraph" w:customStyle="1" w:styleId="92">
    <w:name w:val="BIG BOLD"/>
    <w:basedOn w:val="1"/>
    <w:qFormat/>
    <w:uiPriority w:val="0"/>
    <w:pPr>
      <w:tabs>
        <w:tab w:val="left" w:leader="underscore" w:pos="1134"/>
      </w:tabs>
    </w:pPr>
    <w:rPr>
      <w:sz w:val="21"/>
      <w:szCs w:val="20"/>
    </w:rPr>
  </w:style>
  <w:style w:type="character" w:customStyle="1" w:styleId="93">
    <w:name w:val="fontstyle11"/>
    <w:basedOn w:val="39"/>
    <w:qFormat/>
    <w:uiPriority w:val="0"/>
    <w:rPr>
      <w:rFonts w:hint="default" w:ascii="Times New Roman" w:hAnsi="Times New Roman" w:cs="Times New Roman"/>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4.bin"/><Relationship Id="rId17" Type="http://schemas.openxmlformats.org/officeDocument/2006/relationships/image" Target="media/image6.emf"/><Relationship Id="rId16" Type="http://schemas.openxmlformats.org/officeDocument/2006/relationships/oleObject" Target="embeddings/oleObject3.bin"/><Relationship Id="rId15" Type="http://schemas.openxmlformats.org/officeDocument/2006/relationships/image" Target="media/image5.png"/><Relationship Id="rId14" Type="http://schemas.openxmlformats.org/officeDocument/2006/relationships/image" Target="media/image4.emf"/><Relationship Id="rId13" Type="http://schemas.openxmlformats.org/officeDocument/2006/relationships/oleObject" Target="embeddings/oleObject2.bin"/><Relationship Id="rId12" Type="http://schemas.openxmlformats.org/officeDocument/2006/relationships/image" Target="media/image3.emf"/><Relationship Id="rId11" Type="http://schemas.openxmlformats.org/officeDocument/2006/relationships/oleObject" Target="embeddings/oleObject1.bin"/><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51250</Words>
  <Characters>56658</Characters>
  <Lines>739</Lines>
  <Paragraphs>208</Paragraphs>
  <TotalTime>0</TotalTime>
  <ScaleCrop>false</ScaleCrop>
  <LinksUpToDate>false</LinksUpToDate>
  <CharactersWithSpaces>57316</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2020-05-29T01:41:00Z</dcterms:created>
  <dc:creator>陳晓靥</dc:creator>
  <cp:lastModifiedBy>小龙</cp:lastModifiedBy>
  <cp:lastPrinted>2023-04-17T07:53:00Z</cp:lastPrinted>
  <dcterms:modified xsi:type="dcterms:W3CDTF">2023-11-04T16:25:03Z</dcterms:modified>
  <dc:title>编制说明</dc:title>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0172ECD2E5F9434CB06F21FAC6D48998</vt:lpwstr>
  </property>
</Properties>
</file>